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BB" w:rsidRDefault="003F60BB" w:rsidP="005768C9">
      <w:pPr>
        <w:spacing w:line="240" w:lineRule="atLeast"/>
        <w:jc w:val="center"/>
        <w:rPr>
          <w:b/>
        </w:rPr>
      </w:pPr>
      <w:r>
        <w:rPr>
          <w:b/>
        </w:rPr>
        <w:t>Доклад</w:t>
      </w:r>
    </w:p>
    <w:p w:rsidR="003F60BB" w:rsidRDefault="003F60BB" w:rsidP="005768C9">
      <w:pPr>
        <w:spacing w:line="240" w:lineRule="atLeast"/>
        <w:jc w:val="center"/>
        <w:rPr>
          <w:b/>
        </w:rPr>
      </w:pPr>
      <w:r>
        <w:rPr>
          <w:b/>
        </w:rPr>
        <w:t>о новых подходах к организации использования лесного фонда с учетом изменений в законодательстве Российской Федерации</w:t>
      </w:r>
    </w:p>
    <w:p w:rsidR="001B2839" w:rsidRPr="001B2839" w:rsidRDefault="001B2839" w:rsidP="001B2839">
      <w:pPr>
        <w:spacing w:line="240" w:lineRule="atLeast"/>
      </w:pPr>
    </w:p>
    <w:p w:rsidR="001B2839" w:rsidRPr="001B2839" w:rsidRDefault="001B2839" w:rsidP="001B2839">
      <w:pPr>
        <w:spacing w:line="240" w:lineRule="atLeast"/>
      </w:pPr>
      <w:r w:rsidRPr="001B2839">
        <w:t>13 декабря 2017 года.</w:t>
      </w:r>
    </w:p>
    <w:p w:rsidR="003F60BB" w:rsidRDefault="003F60BB" w:rsidP="009433CB">
      <w:pPr>
        <w:pStyle w:val="article"/>
        <w:spacing w:before="0" w:beforeAutospacing="0" w:after="0" w:afterAutospacing="0" w:line="276" w:lineRule="auto"/>
        <w:jc w:val="both"/>
        <w:rPr>
          <w:iCs/>
          <w:sz w:val="28"/>
          <w:szCs w:val="28"/>
        </w:rPr>
      </w:pPr>
    </w:p>
    <w:p w:rsidR="003F60BB" w:rsidRDefault="003F60BB" w:rsidP="001B2839">
      <w:pPr>
        <w:spacing w:line="240" w:lineRule="auto"/>
        <w:jc w:val="center"/>
        <w:rPr>
          <w:szCs w:val="28"/>
        </w:rPr>
      </w:pPr>
      <w:r w:rsidRPr="00195C9D">
        <w:rPr>
          <w:iCs/>
          <w:szCs w:val="28"/>
        </w:rPr>
        <w:t>А</w:t>
      </w:r>
      <w:r w:rsidRPr="00195C9D">
        <w:rPr>
          <w:szCs w:val="28"/>
        </w:rPr>
        <w:t>нализ кадрового обеспечения лесной отрасли</w:t>
      </w:r>
      <w:r>
        <w:rPr>
          <w:szCs w:val="28"/>
        </w:rPr>
        <w:t>.</w:t>
      </w:r>
    </w:p>
    <w:p w:rsidR="001B2839" w:rsidRPr="00195C9D" w:rsidRDefault="001B2839" w:rsidP="001B2839">
      <w:pPr>
        <w:spacing w:line="240" w:lineRule="auto"/>
        <w:jc w:val="center"/>
        <w:rPr>
          <w:szCs w:val="28"/>
        </w:rPr>
      </w:pPr>
    </w:p>
    <w:p w:rsidR="003F60BB" w:rsidRPr="00195C9D" w:rsidRDefault="003F60BB" w:rsidP="009433CB">
      <w:pPr>
        <w:tabs>
          <w:tab w:val="left" w:pos="567"/>
        </w:tabs>
        <w:spacing w:line="240" w:lineRule="auto"/>
        <w:ind w:firstLine="540"/>
        <w:rPr>
          <w:szCs w:val="28"/>
        </w:rPr>
      </w:pPr>
      <w:r w:rsidRPr="00195C9D">
        <w:rPr>
          <w:szCs w:val="28"/>
        </w:rPr>
        <w:t>Основой успешного управления любой отраслью народного хозяйства являются кадры. Лесная отрасль не является исключением - без грамотных, опытных, способных к принятию самостоятельных решений руководящих кадров на всех уровнях управления невозможно организовать лесное хозяйство, обеспечить</w:t>
      </w:r>
      <w:r>
        <w:rPr>
          <w:szCs w:val="28"/>
        </w:rPr>
        <w:t xml:space="preserve"> охрану лесов.</w:t>
      </w:r>
    </w:p>
    <w:p w:rsidR="003F60BB" w:rsidRDefault="003F60BB" w:rsidP="009433CB">
      <w:pPr>
        <w:spacing w:line="240" w:lineRule="auto"/>
        <w:ind w:firstLine="540"/>
        <w:rPr>
          <w:szCs w:val="28"/>
        </w:rPr>
      </w:pPr>
      <w:r w:rsidRPr="00195C9D">
        <w:rPr>
          <w:szCs w:val="28"/>
        </w:rPr>
        <w:t>Перспективы же обеспечения лесной отрасли следующего десятилетия необходимыми квалифицированными молодыми сотрудниками выглядят весьма туманными, и связано это, прежде всего, с беспрецедентным падением пре</w:t>
      </w:r>
      <w:r>
        <w:rPr>
          <w:szCs w:val="28"/>
        </w:rPr>
        <w:t>стижа профессии работника леса.</w:t>
      </w:r>
    </w:p>
    <w:p w:rsidR="003F60BB" w:rsidRDefault="003F60BB" w:rsidP="009433CB">
      <w:pPr>
        <w:spacing w:line="240" w:lineRule="auto"/>
        <w:ind w:firstLine="540"/>
        <w:rPr>
          <w:szCs w:val="28"/>
        </w:rPr>
      </w:pPr>
      <w:r w:rsidRPr="00195C9D">
        <w:rPr>
          <w:szCs w:val="28"/>
        </w:rPr>
        <w:t xml:space="preserve">Имеются серьезные проблемы в условиях быта и уровне заработной платы </w:t>
      </w:r>
      <w:r>
        <w:rPr>
          <w:szCs w:val="28"/>
        </w:rPr>
        <w:t>в лесной отрасти</w:t>
      </w:r>
      <w:r w:rsidRPr="00195C9D">
        <w:rPr>
          <w:szCs w:val="28"/>
        </w:rPr>
        <w:t>, не создающих привлекательной мот</w:t>
      </w:r>
      <w:r>
        <w:rPr>
          <w:szCs w:val="28"/>
        </w:rPr>
        <w:t>ивации для молодых специалистов.</w:t>
      </w:r>
    </w:p>
    <w:p w:rsidR="003F60BB" w:rsidRPr="00C9765F" w:rsidRDefault="003F60BB" w:rsidP="009433CB">
      <w:pPr>
        <w:spacing w:line="240" w:lineRule="auto"/>
        <w:ind w:firstLine="540"/>
        <w:rPr>
          <w:szCs w:val="28"/>
        </w:rPr>
      </w:pPr>
      <w:r w:rsidRPr="00195C9D">
        <w:rPr>
          <w:szCs w:val="28"/>
        </w:rPr>
        <w:t>Потенциальные будущие работники леса, в том числе студенты и абитуриенты лесных ВУЗов и техникумов, не могут этого не видеть - и это не может не отражаться на их выборе профессии (в том числе - на решении идти или не идти работать по специальности даже после получения профессионального лесного образования).</w:t>
      </w:r>
    </w:p>
    <w:p w:rsidR="003F60BB" w:rsidRDefault="003F60BB" w:rsidP="009433CB">
      <w:pPr>
        <w:tabs>
          <w:tab w:val="left" w:pos="567"/>
        </w:tabs>
        <w:spacing w:line="240" w:lineRule="auto"/>
        <w:rPr>
          <w:szCs w:val="28"/>
        </w:rPr>
      </w:pPr>
      <w:r>
        <w:rPr>
          <w:szCs w:val="28"/>
        </w:rPr>
        <w:tab/>
      </w:r>
      <w:r w:rsidRPr="00195C9D">
        <w:rPr>
          <w:szCs w:val="28"/>
        </w:rPr>
        <w:t>В итоге всего этого уже сейчас лесное хозяйство сталкивается с жесточайшим дефицитом квалифицир</w:t>
      </w:r>
      <w:r>
        <w:rPr>
          <w:szCs w:val="28"/>
        </w:rPr>
        <w:t xml:space="preserve">ованных профессиональных кадров. </w:t>
      </w:r>
      <w:proofErr w:type="gramStart"/>
      <w:r w:rsidRPr="00195C9D">
        <w:rPr>
          <w:szCs w:val="28"/>
        </w:rPr>
        <w:t xml:space="preserve">Если, конечно, в ближайшее время </w:t>
      </w:r>
      <w:r>
        <w:rPr>
          <w:szCs w:val="28"/>
        </w:rPr>
        <w:t xml:space="preserve">на федеральном уровне </w:t>
      </w:r>
      <w:r w:rsidRPr="00195C9D">
        <w:rPr>
          <w:szCs w:val="28"/>
        </w:rPr>
        <w:t xml:space="preserve">не будут предприняты должные меры по подъему качества лесного образования, и, главное, по созданию системы мотивации молодых лесных специалистов к добросовестной работе на благо российского леса, в соответствии с нуждами и </w:t>
      </w:r>
      <w:r>
        <w:rPr>
          <w:szCs w:val="28"/>
        </w:rPr>
        <w:t>интересами российского общества, то проблема с кадрами в лесной отрасли будет лишь только обостряться, так как специалисты уходит с отрасли по</w:t>
      </w:r>
      <w:proofErr w:type="gramEnd"/>
      <w:r>
        <w:rPr>
          <w:szCs w:val="28"/>
        </w:rPr>
        <w:t xml:space="preserve"> собственному желанию или в связи с выходом на пенсию.</w:t>
      </w:r>
    </w:p>
    <w:p w:rsidR="001B2839" w:rsidRDefault="003F60BB" w:rsidP="001B2839">
      <w:pPr>
        <w:tabs>
          <w:tab w:val="left" w:pos="567"/>
        </w:tabs>
        <w:spacing w:line="240" w:lineRule="auto"/>
        <w:ind w:firstLine="540"/>
        <w:rPr>
          <w:szCs w:val="28"/>
        </w:rPr>
      </w:pPr>
      <w:r>
        <w:rPr>
          <w:szCs w:val="28"/>
        </w:rPr>
        <w:t>В настоящее время реальность такова, что за 11 лет существования Минприроды были приняты с профильным лесным образованием только 3 молодых специалиста.</w:t>
      </w:r>
    </w:p>
    <w:p w:rsidR="003F60BB" w:rsidRDefault="003F60BB" w:rsidP="001B2839">
      <w:pPr>
        <w:spacing w:line="240" w:lineRule="auto"/>
        <w:ind w:firstLine="540"/>
        <w:rPr>
          <w:szCs w:val="28"/>
        </w:rPr>
      </w:pPr>
      <w:r>
        <w:rPr>
          <w:szCs w:val="28"/>
        </w:rPr>
        <w:t>Одной из основополагающих проблем развития лесного хозяйства Республики Алтай является системное недофинансирование, в первую очередь из федерального бюджета.</w:t>
      </w:r>
    </w:p>
    <w:p w:rsidR="003F60BB" w:rsidRDefault="003F60BB" w:rsidP="00BA0538">
      <w:pPr>
        <w:spacing w:line="240" w:lineRule="auto"/>
        <w:ind w:firstLine="709"/>
        <w:rPr>
          <w:szCs w:val="28"/>
        </w:rPr>
      </w:pPr>
      <w:r>
        <w:rPr>
          <w:szCs w:val="28"/>
        </w:rPr>
        <w:t>Финансирование из бюджетных источников на исполнение переданных полномочий в области лесных отношений на территории Республики Алтай (далее – Лесные полномочия) за весь период действия Лесного кодекса, утвержденного в 2006 году, составляет не более 50% от потребности.</w:t>
      </w:r>
    </w:p>
    <w:p w:rsidR="003F60BB" w:rsidRPr="00BA0538" w:rsidRDefault="003F60BB" w:rsidP="00BA0538">
      <w:pPr>
        <w:spacing w:line="240" w:lineRule="auto"/>
        <w:ind w:firstLine="709"/>
        <w:rPr>
          <w:szCs w:val="28"/>
        </w:rPr>
      </w:pPr>
      <w:r w:rsidRPr="009433CB">
        <w:rPr>
          <w:szCs w:val="28"/>
        </w:rPr>
        <w:lastRenderedPageBreak/>
        <w:t>На слайде №2</w:t>
      </w:r>
      <w:r>
        <w:rPr>
          <w:szCs w:val="28"/>
        </w:rPr>
        <w:t xml:space="preserve"> представлена </w:t>
      </w:r>
      <w:r>
        <w:rPr>
          <w:bCs/>
          <w:szCs w:val="28"/>
        </w:rPr>
        <w:t>и</w:t>
      </w:r>
      <w:r w:rsidRPr="00BA0538">
        <w:rPr>
          <w:bCs/>
          <w:szCs w:val="28"/>
        </w:rPr>
        <w:t>нформация о финансировании на исполнение переданных полномочий в области лесных от</w:t>
      </w:r>
      <w:r>
        <w:rPr>
          <w:bCs/>
          <w:szCs w:val="28"/>
        </w:rPr>
        <w:t>ношений за период 2011- 2018 гг.</w:t>
      </w:r>
    </w:p>
    <w:p w:rsidR="003F60BB" w:rsidRDefault="001B2839" w:rsidP="00BA0538">
      <w:pPr>
        <w:spacing w:line="240" w:lineRule="auto"/>
        <w:ind w:firstLine="709"/>
        <w:rPr>
          <w:szCs w:val="28"/>
        </w:rPr>
      </w:pPr>
      <w:r>
        <w:rPr>
          <w:szCs w:val="28"/>
        </w:rPr>
        <w:t>С</w:t>
      </w:r>
      <w:r w:rsidR="003F60BB">
        <w:rPr>
          <w:szCs w:val="28"/>
        </w:rPr>
        <w:t>реднегодовой объем финансирования Лесных полномочий составляет 283,1 млн. руб., в том числе 255,6 млн. руб. (90%) из средств федерального бюджета и 27,6 млн. руб. (10%) из бюджета субъекта.</w:t>
      </w:r>
    </w:p>
    <w:p w:rsidR="003F60BB" w:rsidRDefault="003F60BB" w:rsidP="00BA0538">
      <w:pPr>
        <w:spacing w:line="240" w:lineRule="auto"/>
        <w:ind w:firstLine="709"/>
        <w:rPr>
          <w:szCs w:val="28"/>
        </w:rPr>
      </w:pPr>
      <w:r>
        <w:rPr>
          <w:szCs w:val="28"/>
        </w:rPr>
        <w:t xml:space="preserve">При этом необходимо констатировать, что за рассматриваемый период наблюдается тенденция увеличения доли финансирования Лесных полномочий из бюджета республики с 5,5% в 2011 году до 18,1% в 2018 году. Основным направлением </w:t>
      </w:r>
      <w:proofErr w:type="spellStart"/>
      <w:r>
        <w:rPr>
          <w:szCs w:val="28"/>
        </w:rPr>
        <w:t>софинансирования</w:t>
      </w:r>
      <w:proofErr w:type="spellEnd"/>
      <w:r>
        <w:rPr>
          <w:szCs w:val="28"/>
        </w:rPr>
        <w:t xml:space="preserve"> из бюджета субъекта является поддержание летной годности </w:t>
      </w:r>
      <w:proofErr w:type="spellStart"/>
      <w:r>
        <w:rPr>
          <w:szCs w:val="28"/>
        </w:rPr>
        <w:t>авиасудов</w:t>
      </w:r>
      <w:proofErr w:type="spellEnd"/>
      <w:r>
        <w:rPr>
          <w:szCs w:val="28"/>
        </w:rPr>
        <w:t xml:space="preserve"> АУ РА «</w:t>
      </w:r>
      <w:proofErr w:type="spellStart"/>
      <w:r>
        <w:rPr>
          <w:szCs w:val="28"/>
        </w:rPr>
        <w:t>Авиалесоохрана</w:t>
      </w:r>
      <w:proofErr w:type="spellEnd"/>
      <w:r>
        <w:rPr>
          <w:szCs w:val="28"/>
        </w:rPr>
        <w:t xml:space="preserve">», имущественные налоги лесничеств, капитальный ремонт зданий. В 2017 году субъект обеспечил </w:t>
      </w:r>
      <w:proofErr w:type="spellStart"/>
      <w:r>
        <w:rPr>
          <w:szCs w:val="28"/>
        </w:rPr>
        <w:t>софинансирование</w:t>
      </w:r>
      <w:proofErr w:type="spellEnd"/>
      <w:r>
        <w:rPr>
          <w:szCs w:val="28"/>
        </w:rPr>
        <w:t xml:space="preserve"> ремонта специализированной лесопожарной техники наземных противопожарных формирований.</w:t>
      </w:r>
    </w:p>
    <w:p w:rsidR="003F60BB" w:rsidRDefault="003F60BB" w:rsidP="00BA0538">
      <w:pPr>
        <w:spacing w:line="240" w:lineRule="auto"/>
        <w:ind w:firstLine="709"/>
        <w:rPr>
          <w:szCs w:val="28"/>
        </w:rPr>
      </w:pPr>
      <w:r>
        <w:rPr>
          <w:szCs w:val="28"/>
        </w:rPr>
        <w:t>За рассматриваемый 8-летний период плановые объемы финансирования из федерального бюджета фактически оставались на одном уровне (от 227 млн. до 251 млн.), объем дополнительного финансирования  (в основном на погашение кредиторской задолженности за тушение лесных пожаров) составил в среднем 17,1 млн. руб. в год. Также за рассматриваемый период было выделено 17,3 млн. руб. на лесоустройство и на разработку лесного плана республики.</w:t>
      </w:r>
    </w:p>
    <w:p w:rsidR="003F60BB" w:rsidRDefault="001B2839" w:rsidP="00BA0538">
      <w:pPr>
        <w:spacing w:line="240" w:lineRule="auto"/>
        <w:ind w:firstLine="709"/>
        <w:rPr>
          <w:szCs w:val="28"/>
        </w:rPr>
      </w:pPr>
      <w:r>
        <w:rPr>
          <w:szCs w:val="28"/>
        </w:rPr>
        <w:t>Ф</w:t>
      </w:r>
      <w:r w:rsidR="003F60BB">
        <w:rPr>
          <w:szCs w:val="28"/>
        </w:rPr>
        <w:t>инансирование на управленческие нужды за рассматриваемый период выросли с 75,8 млн. руб. до 114,2 млн. руб. Объем расходов на ОЗВЛ фактически не увеличился. Динамика его изменения по годам носит колебательный характер, так в 2011 году сумма расходов составила 184,8 тыс. руб., плановый объем финансирования на 2018 год определен в сумме 176,6 тыс. руб. Пиковые объемы финансирования на ОЗВЛ пришлись на 2012 и 2017 годы.</w:t>
      </w:r>
    </w:p>
    <w:p w:rsidR="003F60BB" w:rsidRDefault="003F60BB" w:rsidP="00BA0538">
      <w:pPr>
        <w:spacing w:line="240" w:lineRule="auto"/>
        <w:ind w:firstLine="709"/>
        <w:rPr>
          <w:szCs w:val="28"/>
        </w:rPr>
      </w:pPr>
      <w:r>
        <w:rPr>
          <w:szCs w:val="28"/>
        </w:rPr>
        <w:t>Многочисленные обращения в Министерство природных ресурсов и экологии Российской Федерации, в Федеральное агентство лесного хозяйства как от лица Минприроды Республики Алтай, так и от лица Правительства Республики Алтай до настоящего времени не повлияли на сложившуюся ситуацию, выражающуюся в системном недофинансировании Лесных полномочий. Такие важные мероприятия как проведение лесоустройства, проектирование лесных участков, межевые работы, борьба с очагами непарного шелкопряда не реализуются по причине отсутствия средств.</w:t>
      </w:r>
    </w:p>
    <w:p w:rsidR="003F60BB" w:rsidRDefault="003F60BB" w:rsidP="00BA0538">
      <w:pPr>
        <w:spacing w:line="240" w:lineRule="auto"/>
        <w:ind w:firstLine="709"/>
        <w:rPr>
          <w:szCs w:val="28"/>
        </w:rPr>
      </w:pPr>
      <w:proofErr w:type="gramStart"/>
      <w:r>
        <w:rPr>
          <w:szCs w:val="28"/>
        </w:rPr>
        <w:t xml:space="preserve">Также в связи с удорожанием стоимости работ по ОЗВЛ (в связи с инфляцией) и неизменностью нормативов финансирования на данные работы (за рассматриваемый 8-летний период) Министерством принимались меры по «оптимизации» количественных показателей мероприятий, выполняемых за счет бюджетных источников: уменьшены площади </w:t>
      </w:r>
      <w:proofErr w:type="spellStart"/>
      <w:r>
        <w:rPr>
          <w:szCs w:val="28"/>
        </w:rPr>
        <w:t>лесовосстановления</w:t>
      </w:r>
      <w:proofErr w:type="spellEnd"/>
      <w:r>
        <w:rPr>
          <w:szCs w:val="28"/>
        </w:rPr>
        <w:t>, прекращены работы по строительству лесных противопожарных дорог и осуществлению отводов древесины и иные меры.</w:t>
      </w:r>
      <w:proofErr w:type="gramEnd"/>
    </w:p>
    <w:p w:rsidR="003F60BB" w:rsidRDefault="003F60BB" w:rsidP="00BA0538">
      <w:pPr>
        <w:spacing w:line="240" w:lineRule="auto"/>
        <w:ind w:firstLine="709"/>
        <w:rPr>
          <w:szCs w:val="28"/>
        </w:rPr>
      </w:pPr>
      <w:r>
        <w:rPr>
          <w:szCs w:val="28"/>
        </w:rPr>
        <w:lastRenderedPageBreak/>
        <w:t xml:space="preserve">Необходимо отметить, что в соответствии с существующей методикой распределения субвенций на исполнение Лесных полномочий финансирование Республике Алтай в 2018 году должно быть 340,0 млн. руб. </w:t>
      </w:r>
      <w:proofErr w:type="gramStart"/>
      <w:r>
        <w:rPr>
          <w:szCs w:val="28"/>
        </w:rPr>
        <w:t>при</w:t>
      </w:r>
      <w:proofErr w:type="gramEnd"/>
      <w:r>
        <w:rPr>
          <w:szCs w:val="28"/>
        </w:rPr>
        <w:t xml:space="preserve"> плановых 238,0 млн. руб., что в соответствии с неофициальной информацией представителей Рослесхоза обусловлено исключительно недостаточной обеспеченностью федерального бюджета.</w:t>
      </w:r>
    </w:p>
    <w:p w:rsidR="003F60BB" w:rsidRPr="00BE654D" w:rsidRDefault="001B2839" w:rsidP="00BA0538">
      <w:pPr>
        <w:spacing w:line="240" w:lineRule="auto"/>
        <w:ind w:firstLine="709"/>
        <w:rPr>
          <w:b/>
          <w:szCs w:val="28"/>
        </w:rPr>
      </w:pPr>
      <w:proofErr w:type="gramStart"/>
      <w:r>
        <w:rPr>
          <w:bCs/>
          <w:szCs w:val="28"/>
        </w:rPr>
        <w:t>С</w:t>
      </w:r>
      <w:r w:rsidR="003F60BB">
        <w:rPr>
          <w:bCs/>
          <w:szCs w:val="28"/>
        </w:rPr>
        <w:t xml:space="preserve">реднемесячная заработная плата работников лесничеств и автономных учреждений, </w:t>
      </w:r>
      <w:r w:rsidR="003F60BB">
        <w:rPr>
          <w:szCs w:val="28"/>
        </w:rPr>
        <w:t>обеспечивающих охрану лесов в наземной зоне, ниже среднемесячной заработной платы по Республике Алтай, которая за период с 2013 года по 2016 год выросла с 20,7 тыс. руб. до 25,1 тыс. руб. Низкий уровень заработной платы в отрасли затрудняет привлечение молодых специалистов, тем более имеющих профильное образование.</w:t>
      </w:r>
      <w:proofErr w:type="gramEnd"/>
      <w:r w:rsidR="003F60BB">
        <w:rPr>
          <w:szCs w:val="28"/>
        </w:rPr>
        <w:t xml:space="preserve"> Также важно, что работники отрасли не имеют каких-либо преференций и льгот (служебное жилье, подъемные, иные формы стимулирования) необходимо на уровне субъекта рассмотреть возможность вовлечения новых профессиональных кадров в отрасль, разработав систему государственной поддержки.</w:t>
      </w:r>
    </w:p>
    <w:p w:rsidR="003F60BB" w:rsidRDefault="003F60BB" w:rsidP="00BA0538">
      <w:pPr>
        <w:spacing w:line="240" w:lineRule="auto"/>
        <w:ind w:firstLine="709"/>
        <w:rPr>
          <w:szCs w:val="28"/>
        </w:rPr>
      </w:pPr>
      <w:r>
        <w:rPr>
          <w:szCs w:val="28"/>
        </w:rPr>
        <w:t>В настоящее время ситуация усугубилась изменениями федерального законодательства в части МРОТ. Соответствующее обращение уже направлено в Федеральное агентство лесного хозяйства и находится на рассмотрении.</w:t>
      </w:r>
    </w:p>
    <w:p w:rsidR="003F60BB" w:rsidRDefault="003F60BB" w:rsidP="00BA0538">
      <w:pPr>
        <w:spacing w:line="240" w:lineRule="auto"/>
        <w:ind w:firstLine="709"/>
        <w:rPr>
          <w:szCs w:val="28"/>
        </w:rPr>
      </w:pPr>
      <w:r>
        <w:rPr>
          <w:szCs w:val="28"/>
        </w:rPr>
        <w:t>Также планируется привлечь из бюджета субъекта дополнительные средства на обеспечение содержания имущества подведомственных Министерству автономных учреждений – имущественные налоги, ремонт специализированной техники. Ежегодная потребность в финансировании из бюджета субъекта составляет порядка 70,0 млн. руб., из нее 35-40% расходы на нужды наземных формирований, которые до настоящего времени практически не получали помощь из республиканского бюджета.</w:t>
      </w:r>
    </w:p>
    <w:p w:rsidR="003F60BB" w:rsidRDefault="003F60BB" w:rsidP="000F5F8C">
      <w:pPr>
        <w:spacing w:line="240" w:lineRule="auto"/>
        <w:ind w:firstLine="709"/>
      </w:pPr>
      <w:r w:rsidRPr="00087190">
        <w:t>За п</w:t>
      </w:r>
      <w:r>
        <w:t>оследние годы законодательство Р</w:t>
      </w:r>
      <w:r w:rsidRPr="00087190">
        <w:t>оссийской Федерации в области лесных отношений претерпело множественные изменения.</w:t>
      </w:r>
      <w:r>
        <w:t xml:space="preserve"> Многие из них существенно повлияли на сложившийся в Республике Алтай уклад взаимоотношений между хозяйствующими субъектами в сфере заготовки и переработки древесины. Основными из них являются:</w:t>
      </w:r>
    </w:p>
    <w:p w:rsidR="003F60BB" w:rsidRPr="00115FEC" w:rsidRDefault="003F60BB" w:rsidP="0082314F">
      <w:pPr>
        <w:pStyle w:val="ab"/>
        <w:numPr>
          <w:ilvl w:val="0"/>
          <w:numId w:val="3"/>
        </w:numPr>
        <w:tabs>
          <w:tab w:val="left" w:pos="993"/>
        </w:tabs>
        <w:ind w:left="0" w:firstLine="709"/>
      </w:pPr>
      <w:proofErr w:type="gramStart"/>
      <w:r>
        <w:t xml:space="preserve">Принятие </w:t>
      </w:r>
      <w:r>
        <w:rPr>
          <w:szCs w:val="28"/>
        </w:rPr>
        <w:t xml:space="preserve">Федерального закона  от 28 декабря </w:t>
      </w:r>
      <w:smartTag w:uri="urn:schemas-microsoft-com:office:smarttags" w:element="metricconverter">
        <w:smartTagPr>
          <w:attr w:name="ProductID" w:val="2013 г"/>
        </w:smartTagPr>
        <w:r>
          <w:rPr>
            <w:szCs w:val="28"/>
          </w:rPr>
          <w:t>2013 г</w:t>
        </w:r>
      </w:smartTag>
      <w:r>
        <w:rPr>
          <w:szCs w:val="28"/>
        </w:rPr>
        <w:t>. № 415-ФЗ «О внесении изменений в Лесной кодекс» (ЕГАИС основные изменения вступили в силу в 2015 году), наложившего полный запрет на отчуждение древесины гражданами по договорам купли-продажи лесных насаждений для собственных нужд и утвердившего новые требования к сделкам с древесиной, что повлекло снижение экономической активности предпринимателей, ранее работавших с гражданами.</w:t>
      </w:r>
      <w:proofErr w:type="gramEnd"/>
    </w:p>
    <w:p w:rsidR="003F60BB" w:rsidRPr="00E375E2" w:rsidRDefault="003F60BB" w:rsidP="00115FEC">
      <w:pPr>
        <w:pStyle w:val="ab"/>
        <w:numPr>
          <w:ilvl w:val="0"/>
          <w:numId w:val="3"/>
        </w:numPr>
        <w:tabs>
          <w:tab w:val="left" w:pos="993"/>
        </w:tabs>
        <w:ind w:left="0" w:firstLine="709"/>
      </w:pPr>
      <w:r>
        <w:t>Принятие Федерального закона от 30 декабря 2015 года № 455-ФЗ «</w:t>
      </w:r>
      <w:r w:rsidRPr="00E375E2">
        <w:rPr>
          <w:szCs w:val="28"/>
        </w:rPr>
        <w:t>О внесении изменений в Лесной кодекс Российской Федерации в части совершенствования регулирования защиты лесов от вредных организмов</w:t>
      </w:r>
      <w:r>
        <w:rPr>
          <w:szCs w:val="28"/>
        </w:rPr>
        <w:t xml:space="preserve">» изменен порядок утверждения актов лесопатологического обследования </w:t>
      </w:r>
      <w:r>
        <w:rPr>
          <w:szCs w:val="28"/>
        </w:rPr>
        <w:lastRenderedPageBreak/>
        <w:t>(размещение актов лесопатологического обследования на официальном сайте Рослесхоза увеличило срок утверждение данных актов на 30 дней)</w:t>
      </w:r>
    </w:p>
    <w:p w:rsidR="003F60BB" w:rsidRPr="00010C01" w:rsidRDefault="003F60BB" w:rsidP="0082314F">
      <w:pPr>
        <w:pStyle w:val="ab"/>
        <w:numPr>
          <w:ilvl w:val="0"/>
          <w:numId w:val="3"/>
        </w:numPr>
        <w:tabs>
          <w:tab w:val="left" w:pos="993"/>
        </w:tabs>
        <w:ind w:left="0" w:firstLine="709"/>
      </w:pPr>
      <w:r>
        <w:t xml:space="preserve">Утверждение приказа Министерства природных ресурсов и экологии Российской Федерации от 12 сентября 2016 г. № 470 «Об утверждении правил осуществления мероприятий по предупреждению распространения вредных организмов», </w:t>
      </w:r>
      <w:r>
        <w:rPr>
          <w:szCs w:val="28"/>
        </w:rPr>
        <w:t>изменившего механизм проведения санитарных рубок (теперь акты лесопатологического обследования проходят через г. Барнаул и г. Новосибирск, что фактически привело к снижению объемов заготовки древесины.</w:t>
      </w:r>
    </w:p>
    <w:p w:rsidR="003F60BB" w:rsidRPr="0082314F" w:rsidRDefault="003F60BB" w:rsidP="0082314F">
      <w:pPr>
        <w:pStyle w:val="ab"/>
        <w:numPr>
          <w:ilvl w:val="0"/>
          <w:numId w:val="3"/>
        </w:numPr>
        <w:tabs>
          <w:tab w:val="left" w:pos="993"/>
        </w:tabs>
        <w:ind w:left="0" w:firstLine="709"/>
      </w:pPr>
      <w:r>
        <w:t xml:space="preserve">Утверждение </w:t>
      </w:r>
      <w:r>
        <w:rPr>
          <w:szCs w:val="28"/>
        </w:rPr>
        <w:t>п</w:t>
      </w:r>
      <w:r w:rsidRPr="00DA6136">
        <w:rPr>
          <w:szCs w:val="28"/>
        </w:rPr>
        <w:t>риказ</w:t>
      </w:r>
      <w:r>
        <w:rPr>
          <w:szCs w:val="28"/>
        </w:rPr>
        <w:t xml:space="preserve">а </w:t>
      </w:r>
      <w:r>
        <w:t xml:space="preserve">Министерства природных ресурсов и экологии Российской Федерации </w:t>
      </w:r>
      <w:r w:rsidRPr="00DA6136">
        <w:rPr>
          <w:szCs w:val="28"/>
        </w:rPr>
        <w:t>от 22 ноября 2017 г. № 626 «Об Утверждении правил ухода за лесами»</w:t>
      </w:r>
      <w:r>
        <w:rPr>
          <w:szCs w:val="28"/>
        </w:rPr>
        <w:t xml:space="preserve">, наложившего запрет на все виды рубок ухода в орехово-промысловых зонах. </w:t>
      </w:r>
    </w:p>
    <w:p w:rsidR="003F60BB" w:rsidRPr="0082314F" w:rsidRDefault="003F60BB" w:rsidP="0082314F">
      <w:pPr>
        <w:pStyle w:val="ab"/>
        <w:numPr>
          <w:ilvl w:val="0"/>
          <w:numId w:val="3"/>
        </w:numPr>
        <w:tabs>
          <w:tab w:val="left" w:pos="993"/>
        </w:tabs>
        <w:spacing w:line="240" w:lineRule="auto"/>
        <w:ind w:left="0" w:firstLine="709"/>
        <w:rPr>
          <w:szCs w:val="28"/>
        </w:rPr>
      </w:pPr>
      <w:r>
        <w:rPr>
          <w:szCs w:val="28"/>
        </w:rPr>
        <w:t>Принятие п</w:t>
      </w:r>
      <w:r w:rsidRPr="0082314F">
        <w:rPr>
          <w:szCs w:val="28"/>
        </w:rPr>
        <w:t>остановлени</w:t>
      </w:r>
      <w:r>
        <w:rPr>
          <w:szCs w:val="28"/>
        </w:rPr>
        <w:t>я</w:t>
      </w:r>
      <w:r w:rsidRPr="0082314F">
        <w:rPr>
          <w:szCs w:val="28"/>
        </w:rPr>
        <w:t xml:space="preserve"> Правительства РФ от 11</w:t>
      </w:r>
      <w:r>
        <w:rPr>
          <w:szCs w:val="28"/>
        </w:rPr>
        <w:t xml:space="preserve"> ноября </w:t>
      </w:r>
      <w:r w:rsidRPr="0082314F">
        <w:rPr>
          <w:szCs w:val="28"/>
        </w:rPr>
        <w:t>2017</w:t>
      </w:r>
      <w:r>
        <w:rPr>
          <w:szCs w:val="28"/>
        </w:rPr>
        <w:t xml:space="preserve"> г. №</w:t>
      </w:r>
      <w:r w:rsidRPr="0082314F">
        <w:rPr>
          <w:szCs w:val="28"/>
        </w:rPr>
        <w:t xml:space="preserve"> 1363 </w:t>
      </w:r>
      <w:r>
        <w:rPr>
          <w:szCs w:val="28"/>
        </w:rPr>
        <w:t>«</w:t>
      </w:r>
      <w:r w:rsidRPr="0082314F">
        <w:rPr>
          <w:szCs w:val="28"/>
        </w:rPr>
        <w:t>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w:t>
      </w:r>
      <w:r>
        <w:rPr>
          <w:szCs w:val="28"/>
        </w:rPr>
        <w:t>», увеличившего ставки платы за заготовку древесины на 144% в 2018 году к уровню 2017 года.</w:t>
      </w:r>
    </w:p>
    <w:p w:rsidR="003F60BB" w:rsidRPr="00523D6A" w:rsidRDefault="003F60BB" w:rsidP="00CF51EA">
      <w:pPr>
        <w:pStyle w:val="ab"/>
        <w:numPr>
          <w:ilvl w:val="0"/>
          <w:numId w:val="3"/>
        </w:numPr>
        <w:tabs>
          <w:tab w:val="left" w:pos="993"/>
        </w:tabs>
        <w:ind w:left="0" w:firstLine="709"/>
      </w:pPr>
      <w:r>
        <w:t xml:space="preserve">Принятие </w:t>
      </w:r>
      <w:r w:rsidRPr="00E54DD9">
        <w:rPr>
          <w:szCs w:val="28"/>
        </w:rPr>
        <w:t xml:space="preserve">Федерального закона </w:t>
      </w:r>
      <w:r>
        <w:rPr>
          <w:szCs w:val="28"/>
        </w:rPr>
        <w:t xml:space="preserve">от </w:t>
      </w:r>
      <w:r w:rsidRPr="00E54DD9">
        <w:rPr>
          <w:szCs w:val="28"/>
        </w:rPr>
        <w:t>9 декабря 2017 года № 471-ФЗ</w:t>
      </w:r>
      <w:proofErr w:type="gramStart"/>
      <w:r w:rsidRPr="00E54DD9">
        <w:rPr>
          <w:szCs w:val="28"/>
        </w:rPr>
        <w:t>«О</w:t>
      </w:r>
      <w:proofErr w:type="gramEnd"/>
      <w:r w:rsidRPr="00E54DD9">
        <w:rPr>
          <w:szCs w:val="28"/>
        </w:rPr>
        <w:t xml:space="preserve"> внесении изменений в Лесной кодекс»</w:t>
      </w:r>
      <w:r>
        <w:rPr>
          <w:szCs w:val="28"/>
        </w:rPr>
        <w:t>, изменившего порядок и сроки предоставления древесины (введение конкурсных процедур и торгов через электронные площадки увеличилась процедура с 30 дней до 60 дней и более).</w:t>
      </w:r>
    </w:p>
    <w:p w:rsidR="003F60BB" w:rsidRDefault="003F60BB" w:rsidP="0032458D">
      <w:pPr>
        <w:spacing w:line="240" w:lineRule="auto"/>
        <w:ind w:firstLine="708"/>
        <w:rPr>
          <w:szCs w:val="28"/>
        </w:rPr>
      </w:pPr>
      <w:bookmarkStart w:id="0" w:name="_GoBack"/>
      <w:bookmarkEnd w:id="0"/>
      <w:r w:rsidRPr="00CF51EA">
        <w:rPr>
          <w:szCs w:val="28"/>
        </w:rPr>
        <w:t>Министерство предприняло</w:t>
      </w:r>
      <w:r>
        <w:rPr>
          <w:szCs w:val="28"/>
        </w:rPr>
        <w:t xml:space="preserve"> ряд действенных мер по обеспечению необходимым объемом лесозаготовителей республики, а именно:</w:t>
      </w:r>
    </w:p>
    <w:p w:rsidR="003F60BB" w:rsidRDefault="003F60BB" w:rsidP="0032458D">
      <w:pPr>
        <w:spacing w:line="240" w:lineRule="auto"/>
        <w:ind w:firstLine="708"/>
        <w:rPr>
          <w:szCs w:val="28"/>
        </w:rPr>
      </w:pPr>
      <w:r>
        <w:rPr>
          <w:szCs w:val="28"/>
        </w:rPr>
        <w:t>В рамках договоров аренды арендаторами проводятся лесоустроительные работы, Министерство проводит утверждение актуальных материалов лесоустройства и в судебном порядке вносит соответствующие изменения в  договора аренды, как правило в части увеличения расчетной лесосеки, на сегодняшний день лесоустройство проведено по 10 договорам аренды, расчетная лесосека с 6,1 тыс. м3 увеличилась до 90,1 тыс.м3.</w:t>
      </w:r>
    </w:p>
    <w:p w:rsidR="003F60BB" w:rsidRDefault="003F60BB" w:rsidP="00B23A9B">
      <w:pPr>
        <w:spacing w:line="240" w:lineRule="auto"/>
        <w:ind w:firstLine="708"/>
        <w:rPr>
          <w:szCs w:val="28"/>
        </w:rPr>
      </w:pPr>
      <w:r>
        <w:rPr>
          <w:szCs w:val="28"/>
        </w:rPr>
        <w:t xml:space="preserve">Лесоустроительные работы земель лесного фонда Республики Алтай были проведены за период с 2000 по 2006 г, в рамках действующего законодательства актуальность материалов лесоустройства составляет не более 10 лет. В связи с отсутствием финансирования на проведение работ по лесоустройству Министерством проводятся обследования лесного фонда с целью выявления несоответствия материалам проведенного последнего лесоустройства и последующим составлением актов несоответствия. Данная процедура позволила сохранить заготовку древесины на уровне предыдущих годов, не снижая объемов заготовки.  В 2017 году по всей территории лесного фонда Республики Алтай составлено 250 актов с общим объемом древесины 164,0 тыс. </w:t>
      </w:r>
      <w:proofErr w:type="spellStart"/>
      <w:r>
        <w:rPr>
          <w:szCs w:val="28"/>
        </w:rPr>
        <w:t>кбм</w:t>
      </w:r>
      <w:proofErr w:type="spellEnd"/>
      <w:r>
        <w:rPr>
          <w:szCs w:val="28"/>
        </w:rPr>
        <w:t xml:space="preserve">. </w:t>
      </w:r>
    </w:p>
    <w:p w:rsidR="003F60BB" w:rsidRDefault="003F60BB" w:rsidP="00523D6A">
      <w:pPr>
        <w:spacing w:line="240" w:lineRule="auto"/>
        <w:ind w:firstLine="708"/>
        <w:rPr>
          <w:szCs w:val="28"/>
        </w:rPr>
      </w:pPr>
      <w:r>
        <w:rPr>
          <w:szCs w:val="28"/>
        </w:rPr>
        <w:lastRenderedPageBreak/>
        <w:t xml:space="preserve">Еще одной из мер, принятых Министерством, является проведение аукционов для представителей малого среднего предпринимательства с целью заготовки древесины на краткосрочной основе (в 2017 году заключены договоры купли-продажи лесных насаждений на объем древесины 21,3 </w:t>
      </w:r>
      <w:proofErr w:type="spellStart"/>
      <w:r>
        <w:rPr>
          <w:szCs w:val="28"/>
        </w:rPr>
        <w:t>тыс.кбм</w:t>
      </w:r>
      <w:proofErr w:type="spellEnd"/>
      <w:r>
        <w:rPr>
          <w:szCs w:val="28"/>
        </w:rPr>
        <w:t>). При этом необходимо отметить, что расходы на осуществление отводов лесосек несут подведомственные Министерству автономные учреждения, компенсация данных расходов из бюджетов до настоящего времени не осуществлялась.</w:t>
      </w:r>
    </w:p>
    <w:p w:rsidR="003F60BB" w:rsidRDefault="003F60BB" w:rsidP="00523D6A">
      <w:pPr>
        <w:spacing w:line="240" w:lineRule="auto"/>
        <w:ind w:firstLine="708"/>
        <w:rPr>
          <w:szCs w:val="28"/>
        </w:rPr>
      </w:pPr>
      <w:proofErr w:type="gramStart"/>
      <w:r>
        <w:rPr>
          <w:szCs w:val="28"/>
        </w:rPr>
        <w:t>Подведя итог вышеперечисленного, для решения проблемных вопросов по обеспечению лесозаготовителей древесиной, Министерство предлагает следующие меры:</w:t>
      </w:r>
      <w:proofErr w:type="gramEnd"/>
    </w:p>
    <w:p w:rsidR="003F60BB" w:rsidRPr="002C3394" w:rsidRDefault="003F60BB" w:rsidP="002C3394">
      <w:pPr>
        <w:pStyle w:val="ab"/>
        <w:numPr>
          <w:ilvl w:val="0"/>
          <w:numId w:val="4"/>
        </w:numPr>
        <w:spacing w:line="240" w:lineRule="auto"/>
        <w:ind w:left="0" w:firstLine="709"/>
        <w:rPr>
          <w:szCs w:val="28"/>
        </w:rPr>
      </w:pPr>
      <w:r w:rsidRPr="002C3394">
        <w:rPr>
          <w:szCs w:val="28"/>
        </w:rPr>
        <w:t xml:space="preserve">С целью должного и необходимого проведения работ по охране, защите и воспроизводству лесов подведомственными автономными учреждениями, предлагаем в перечень работ доводимых в рамках государственного задания включить рубки спелых и перестойных лесных насаждений для получения дополнительного внебюджетного финансирования, </w:t>
      </w:r>
      <w:r w:rsidRPr="00115FEC">
        <w:rPr>
          <w:szCs w:val="28"/>
        </w:rPr>
        <w:t>так же предлагаем рассмотреть вопрос о содержании части имущества</w:t>
      </w:r>
      <w:r>
        <w:rPr>
          <w:szCs w:val="28"/>
        </w:rPr>
        <w:t>, подведомственных Министерству автономных учреждений Республики Алтай, осуществляющих реализацию мероприятий по наземной охране лесов от пожаров (имущественные налоги, ремонт специализированной техники и оборудования, ремонт и содержание используемых зданий) на постоянной основе из средств республиканского бюджета Республики Алтай.</w:t>
      </w:r>
    </w:p>
    <w:p w:rsidR="003F60BB" w:rsidRDefault="003F60BB" w:rsidP="002C3394">
      <w:pPr>
        <w:pStyle w:val="ab"/>
        <w:numPr>
          <w:ilvl w:val="0"/>
          <w:numId w:val="4"/>
        </w:numPr>
        <w:spacing w:line="240" w:lineRule="auto"/>
        <w:ind w:left="0" w:firstLine="709"/>
        <w:rPr>
          <w:szCs w:val="28"/>
        </w:rPr>
      </w:pPr>
      <w:r>
        <w:rPr>
          <w:szCs w:val="28"/>
        </w:rPr>
        <w:t>Увеличить предоставление древесины на краткосрочной основе по договорам купли-продажи для субъектов малого и средне6го бизнеса через процедуру открытого аукциона до 200 тыс. м</w:t>
      </w:r>
      <w:r>
        <w:rPr>
          <w:szCs w:val="28"/>
          <w:vertAlign w:val="superscript"/>
        </w:rPr>
        <w:t>3</w:t>
      </w:r>
      <w:r>
        <w:rPr>
          <w:szCs w:val="28"/>
        </w:rPr>
        <w:t xml:space="preserve"> в 2018 году, в </w:t>
      </w:r>
      <w:proofErr w:type="spellStart"/>
      <w:r>
        <w:rPr>
          <w:szCs w:val="28"/>
        </w:rPr>
        <w:t>мягколиственном</w:t>
      </w:r>
      <w:proofErr w:type="spellEnd"/>
      <w:r>
        <w:rPr>
          <w:szCs w:val="28"/>
        </w:rPr>
        <w:t xml:space="preserve"> хозяйстве с присутствием хвойные насаждения до 30-40%.</w:t>
      </w:r>
    </w:p>
    <w:p w:rsidR="003F60BB" w:rsidRDefault="003F60BB" w:rsidP="002C3394">
      <w:pPr>
        <w:pStyle w:val="ab"/>
        <w:numPr>
          <w:ilvl w:val="0"/>
          <w:numId w:val="4"/>
        </w:numPr>
        <w:spacing w:line="240" w:lineRule="auto"/>
        <w:ind w:left="0" w:firstLine="709"/>
        <w:rPr>
          <w:szCs w:val="28"/>
        </w:rPr>
      </w:pPr>
      <w:r>
        <w:rPr>
          <w:szCs w:val="28"/>
        </w:rPr>
        <w:t>Для повышения и дальнейшего развития переработки древесины считаем необходимым объединение лесозаготовителей по районам республики для целей дальнейшего предоставления в аренду лесных участков, путем проведения конкурсной процедуры непосредственно для предприятий занимающихся переработкой древесины.</w:t>
      </w:r>
    </w:p>
    <w:p w:rsidR="003F60BB" w:rsidRDefault="003F60BB" w:rsidP="002C3394">
      <w:pPr>
        <w:pStyle w:val="ab"/>
        <w:numPr>
          <w:ilvl w:val="0"/>
          <w:numId w:val="4"/>
        </w:numPr>
        <w:spacing w:line="240" w:lineRule="auto"/>
        <w:ind w:left="0" w:firstLine="709"/>
        <w:rPr>
          <w:szCs w:val="28"/>
        </w:rPr>
      </w:pPr>
      <w:r>
        <w:rPr>
          <w:szCs w:val="28"/>
        </w:rPr>
        <w:t xml:space="preserve">Учитывая, что срок давности материалов лесоустройства по части лесничеств начал истекать еще в 2011 году, и ранее до 2015 года на этой почве у заготовителей вопросов не возникало, считаем необходимым провести точечное лесоустройство на территории двух основных лесозаготовительных районов - </w:t>
      </w:r>
      <w:proofErr w:type="spellStart"/>
      <w:r>
        <w:rPr>
          <w:szCs w:val="28"/>
        </w:rPr>
        <w:t>Турочакского</w:t>
      </w:r>
      <w:proofErr w:type="spellEnd"/>
      <w:r>
        <w:rPr>
          <w:szCs w:val="28"/>
        </w:rPr>
        <w:t xml:space="preserve"> и Чойского на общей площади </w:t>
      </w:r>
      <w:r w:rsidRPr="00115FEC">
        <w:rPr>
          <w:szCs w:val="28"/>
        </w:rPr>
        <w:t>1390,8 тыс.</w:t>
      </w:r>
      <w:r>
        <w:rPr>
          <w:szCs w:val="28"/>
        </w:rPr>
        <w:t xml:space="preserve"> га (необходимая сумма 278,2 млн. руб.).</w:t>
      </w:r>
    </w:p>
    <w:p w:rsidR="003F60BB" w:rsidRDefault="003F60BB" w:rsidP="00115FEC">
      <w:pPr>
        <w:pStyle w:val="ab"/>
        <w:numPr>
          <w:ilvl w:val="0"/>
          <w:numId w:val="4"/>
        </w:numPr>
        <w:spacing w:before="240" w:line="240" w:lineRule="auto"/>
        <w:ind w:left="0" w:firstLine="709"/>
        <w:rPr>
          <w:szCs w:val="28"/>
        </w:rPr>
      </w:pPr>
      <w:r>
        <w:rPr>
          <w:szCs w:val="28"/>
        </w:rPr>
        <w:t>Обеспечить государственную поддержку молодых специалистов лесного хозяйства Республики Алтай (предоставление древесины на строительство по льготной цене, бесплатное профильное образование, иное).</w:t>
      </w:r>
    </w:p>
    <w:sectPr w:rsidR="003F60BB" w:rsidSect="000F5F8C">
      <w:headerReference w:type="default" r:id="rId8"/>
      <w:footerReference w:type="default" r:id="rId9"/>
      <w:headerReference w:type="first" r:id="rId10"/>
      <w:pgSz w:w="11907" w:h="16840" w:code="9"/>
      <w:pgMar w:top="709" w:right="737" w:bottom="1418" w:left="1588" w:header="709" w:footer="709"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29" w:rsidRDefault="00620329">
      <w:r>
        <w:separator/>
      </w:r>
    </w:p>
  </w:endnote>
  <w:endnote w:type="continuationSeparator" w:id="0">
    <w:p w:rsidR="00620329" w:rsidRDefault="0062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BB" w:rsidRDefault="003F60BB">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29" w:rsidRDefault="00620329">
      <w:r>
        <w:separator/>
      </w:r>
    </w:p>
  </w:footnote>
  <w:footnote w:type="continuationSeparator" w:id="0">
    <w:p w:rsidR="00620329" w:rsidRDefault="0062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BB" w:rsidRDefault="003F60BB">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CF51EA">
      <w:rPr>
        <w:rStyle w:val="a7"/>
        <w:noProof/>
      </w:rPr>
      <w:t>5</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BB" w:rsidRDefault="003F60BB">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5365"/>
    <w:multiLevelType w:val="hybridMultilevel"/>
    <w:tmpl w:val="78AA7B12"/>
    <w:lvl w:ilvl="0" w:tplc="7AEC25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02A347D"/>
    <w:multiLevelType w:val="hybridMultilevel"/>
    <w:tmpl w:val="33607568"/>
    <w:lvl w:ilvl="0" w:tplc="4AD65D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F8343C6"/>
    <w:multiLevelType w:val="hybridMultilevel"/>
    <w:tmpl w:val="52A613C6"/>
    <w:lvl w:ilvl="0" w:tplc="CFDE0A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77A4F20"/>
    <w:multiLevelType w:val="hybridMultilevel"/>
    <w:tmpl w:val="D19CEEE2"/>
    <w:lvl w:ilvl="0" w:tplc="6B0E78E8">
      <w:start w:val="1"/>
      <w:numFmt w:val="decimal"/>
      <w:lvlText w:val="%1."/>
      <w:lvlJc w:val="left"/>
      <w:pPr>
        <w:ind w:left="1773" w:hanging="106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108"/>
    <w:rsid w:val="00001431"/>
    <w:rsid w:val="00010C01"/>
    <w:rsid w:val="00036AD9"/>
    <w:rsid w:val="00087190"/>
    <w:rsid w:val="000D1934"/>
    <w:rsid w:val="000E691D"/>
    <w:rsid w:val="000F26C7"/>
    <w:rsid w:val="000F5F8C"/>
    <w:rsid w:val="00115FEC"/>
    <w:rsid w:val="00141389"/>
    <w:rsid w:val="00154667"/>
    <w:rsid w:val="00155CF8"/>
    <w:rsid w:val="00163A7A"/>
    <w:rsid w:val="00167244"/>
    <w:rsid w:val="0018754B"/>
    <w:rsid w:val="00195C9D"/>
    <w:rsid w:val="001B2839"/>
    <w:rsid w:val="001C4549"/>
    <w:rsid w:val="001D4C32"/>
    <w:rsid w:val="001F3637"/>
    <w:rsid w:val="00222BF3"/>
    <w:rsid w:val="00235023"/>
    <w:rsid w:val="00265956"/>
    <w:rsid w:val="002944D7"/>
    <w:rsid w:val="002B51EF"/>
    <w:rsid w:val="002C3394"/>
    <w:rsid w:val="002E091E"/>
    <w:rsid w:val="00300F01"/>
    <w:rsid w:val="00304FD8"/>
    <w:rsid w:val="00313FC7"/>
    <w:rsid w:val="0032458D"/>
    <w:rsid w:val="00342BEB"/>
    <w:rsid w:val="003518A9"/>
    <w:rsid w:val="00362BDA"/>
    <w:rsid w:val="00366D47"/>
    <w:rsid w:val="003672AD"/>
    <w:rsid w:val="003C2D3A"/>
    <w:rsid w:val="003D0F75"/>
    <w:rsid w:val="003F60BB"/>
    <w:rsid w:val="00402B99"/>
    <w:rsid w:val="00424BA1"/>
    <w:rsid w:val="00493B55"/>
    <w:rsid w:val="00496784"/>
    <w:rsid w:val="004A764D"/>
    <w:rsid w:val="004C5B85"/>
    <w:rsid w:val="005039CE"/>
    <w:rsid w:val="0050771B"/>
    <w:rsid w:val="00523D6A"/>
    <w:rsid w:val="00544EF2"/>
    <w:rsid w:val="00560401"/>
    <w:rsid w:val="00564A61"/>
    <w:rsid w:val="005768C9"/>
    <w:rsid w:val="005B7075"/>
    <w:rsid w:val="00620329"/>
    <w:rsid w:val="0062778B"/>
    <w:rsid w:val="00641633"/>
    <w:rsid w:val="00666D57"/>
    <w:rsid w:val="00667D44"/>
    <w:rsid w:val="0068030F"/>
    <w:rsid w:val="00694D56"/>
    <w:rsid w:val="006B2327"/>
    <w:rsid w:val="006E6C0B"/>
    <w:rsid w:val="006F2192"/>
    <w:rsid w:val="006F503E"/>
    <w:rsid w:val="00723DE9"/>
    <w:rsid w:val="00763C3E"/>
    <w:rsid w:val="007A034D"/>
    <w:rsid w:val="007C4A5F"/>
    <w:rsid w:val="008219FE"/>
    <w:rsid w:val="0082314F"/>
    <w:rsid w:val="00850D58"/>
    <w:rsid w:val="00856A2F"/>
    <w:rsid w:val="00874A90"/>
    <w:rsid w:val="0087593A"/>
    <w:rsid w:val="008B247A"/>
    <w:rsid w:val="008E7B66"/>
    <w:rsid w:val="0093423F"/>
    <w:rsid w:val="009433CB"/>
    <w:rsid w:val="009B1477"/>
    <w:rsid w:val="00A14108"/>
    <w:rsid w:val="00A36664"/>
    <w:rsid w:val="00A41590"/>
    <w:rsid w:val="00A77B2A"/>
    <w:rsid w:val="00AE4C57"/>
    <w:rsid w:val="00B0151E"/>
    <w:rsid w:val="00B0422C"/>
    <w:rsid w:val="00B12518"/>
    <w:rsid w:val="00B23A9B"/>
    <w:rsid w:val="00B27D26"/>
    <w:rsid w:val="00B94AFD"/>
    <w:rsid w:val="00BA0538"/>
    <w:rsid w:val="00BC3915"/>
    <w:rsid w:val="00BE654D"/>
    <w:rsid w:val="00C131EF"/>
    <w:rsid w:val="00C55B1F"/>
    <w:rsid w:val="00C9765F"/>
    <w:rsid w:val="00C97C23"/>
    <w:rsid w:val="00CA6284"/>
    <w:rsid w:val="00CD7729"/>
    <w:rsid w:val="00CF324E"/>
    <w:rsid w:val="00CF51EA"/>
    <w:rsid w:val="00CF5704"/>
    <w:rsid w:val="00D40B30"/>
    <w:rsid w:val="00D55138"/>
    <w:rsid w:val="00D6260B"/>
    <w:rsid w:val="00D675F3"/>
    <w:rsid w:val="00DA6136"/>
    <w:rsid w:val="00DB58FB"/>
    <w:rsid w:val="00DC15AA"/>
    <w:rsid w:val="00E375E2"/>
    <w:rsid w:val="00E40B62"/>
    <w:rsid w:val="00E424BA"/>
    <w:rsid w:val="00E540E7"/>
    <w:rsid w:val="00E54DD9"/>
    <w:rsid w:val="00ED44A8"/>
    <w:rsid w:val="00F25901"/>
    <w:rsid w:val="00F34ABA"/>
    <w:rsid w:val="00F45E04"/>
    <w:rsid w:val="00F600F6"/>
    <w:rsid w:val="00FA1AA4"/>
    <w:rsid w:val="00FA62F4"/>
    <w:rsid w:val="00FC1CC8"/>
    <w:rsid w:val="00FC2BDF"/>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4BA1"/>
    <w:pPr>
      <w:spacing w:line="360" w:lineRule="atLeast"/>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75F3"/>
    <w:pPr>
      <w:tabs>
        <w:tab w:val="center" w:pos="4153"/>
        <w:tab w:val="right" w:pos="8306"/>
      </w:tabs>
    </w:pPr>
  </w:style>
  <w:style w:type="character" w:customStyle="1" w:styleId="a4">
    <w:name w:val="Верхний колонтитул Знак"/>
    <w:link w:val="a3"/>
    <w:uiPriority w:val="99"/>
    <w:semiHidden/>
    <w:locked/>
    <w:rsid w:val="00D675F3"/>
    <w:rPr>
      <w:rFonts w:ascii="Times New Roman" w:hAnsi="Times New Roman" w:cs="Times New Roman"/>
      <w:sz w:val="28"/>
    </w:rPr>
  </w:style>
  <w:style w:type="paragraph" w:styleId="a5">
    <w:name w:val="footer"/>
    <w:basedOn w:val="a"/>
    <w:link w:val="a6"/>
    <w:uiPriority w:val="99"/>
    <w:rsid w:val="00D675F3"/>
    <w:pPr>
      <w:tabs>
        <w:tab w:val="center" w:pos="4153"/>
        <w:tab w:val="right" w:pos="8306"/>
      </w:tabs>
    </w:pPr>
  </w:style>
  <w:style w:type="character" w:customStyle="1" w:styleId="a6">
    <w:name w:val="Нижний колонтитул Знак"/>
    <w:link w:val="a5"/>
    <w:uiPriority w:val="99"/>
    <w:semiHidden/>
    <w:locked/>
    <w:rsid w:val="00D675F3"/>
    <w:rPr>
      <w:rFonts w:ascii="Times New Roman" w:hAnsi="Times New Roman" w:cs="Times New Roman"/>
      <w:sz w:val="28"/>
    </w:rPr>
  </w:style>
  <w:style w:type="character" w:styleId="a7">
    <w:name w:val="page number"/>
    <w:uiPriority w:val="99"/>
    <w:rsid w:val="00D675F3"/>
    <w:rPr>
      <w:rFonts w:cs="Times New Roman"/>
    </w:rPr>
  </w:style>
  <w:style w:type="paragraph" w:styleId="a8">
    <w:name w:val="Balloon Text"/>
    <w:basedOn w:val="a"/>
    <w:link w:val="a9"/>
    <w:uiPriority w:val="99"/>
    <w:rsid w:val="005768C9"/>
    <w:pPr>
      <w:spacing w:line="240" w:lineRule="auto"/>
    </w:pPr>
    <w:rPr>
      <w:rFonts w:ascii="Tahoma" w:hAnsi="Tahoma" w:cs="Tahoma"/>
      <w:sz w:val="16"/>
      <w:szCs w:val="16"/>
    </w:rPr>
  </w:style>
  <w:style w:type="character" w:customStyle="1" w:styleId="a9">
    <w:name w:val="Текст выноски Знак"/>
    <w:link w:val="a8"/>
    <w:uiPriority w:val="99"/>
    <w:locked/>
    <w:rsid w:val="005768C9"/>
    <w:rPr>
      <w:rFonts w:ascii="Tahoma" w:hAnsi="Tahoma" w:cs="Times New Roman"/>
      <w:sz w:val="16"/>
    </w:rPr>
  </w:style>
  <w:style w:type="paragraph" w:styleId="aa">
    <w:name w:val="Normal (Web)"/>
    <w:basedOn w:val="a"/>
    <w:uiPriority w:val="99"/>
    <w:rsid w:val="00235023"/>
    <w:pPr>
      <w:spacing w:before="100" w:beforeAutospacing="1" w:after="100" w:afterAutospacing="1" w:line="240" w:lineRule="auto"/>
      <w:jc w:val="left"/>
    </w:pPr>
    <w:rPr>
      <w:sz w:val="24"/>
      <w:szCs w:val="24"/>
    </w:rPr>
  </w:style>
  <w:style w:type="paragraph" w:styleId="ab">
    <w:name w:val="List Paragraph"/>
    <w:basedOn w:val="a"/>
    <w:uiPriority w:val="99"/>
    <w:qFormat/>
    <w:rsid w:val="00087190"/>
    <w:pPr>
      <w:ind w:left="720"/>
      <w:contextualSpacing/>
    </w:pPr>
  </w:style>
  <w:style w:type="paragraph" w:customStyle="1" w:styleId="ConsPlusTitle">
    <w:name w:val="ConsPlusTitle"/>
    <w:uiPriority w:val="99"/>
    <w:rsid w:val="00E375E2"/>
    <w:pPr>
      <w:widowControl w:val="0"/>
      <w:autoSpaceDE w:val="0"/>
      <w:autoSpaceDN w:val="0"/>
    </w:pPr>
    <w:rPr>
      <w:rFonts w:ascii="Calibri" w:hAnsi="Calibri" w:cs="Calibri"/>
      <w:b/>
      <w:sz w:val="22"/>
    </w:rPr>
  </w:style>
  <w:style w:type="paragraph" w:customStyle="1" w:styleId="article">
    <w:name w:val="article"/>
    <w:basedOn w:val="a"/>
    <w:uiPriority w:val="99"/>
    <w:rsid w:val="009433CB"/>
    <w:pPr>
      <w:spacing w:before="100" w:beforeAutospacing="1" w:after="100" w:afterAutospacing="1" w:line="240" w:lineRule="auto"/>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47071">
      <w:marLeft w:val="0"/>
      <w:marRight w:val="0"/>
      <w:marTop w:val="0"/>
      <w:marBottom w:val="0"/>
      <w:divBdr>
        <w:top w:val="none" w:sz="0" w:space="0" w:color="auto"/>
        <w:left w:val="none" w:sz="0" w:space="0" w:color="auto"/>
        <w:bottom w:val="none" w:sz="0" w:space="0" w:color="auto"/>
        <w:right w:val="none" w:sz="0" w:space="0" w:color="auto"/>
      </w:divBdr>
    </w:div>
    <w:div w:id="997147072">
      <w:marLeft w:val="0"/>
      <w:marRight w:val="0"/>
      <w:marTop w:val="0"/>
      <w:marBottom w:val="0"/>
      <w:divBdr>
        <w:top w:val="none" w:sz="0" w:space="0" w:color="auto"/>
        <w:left w:val="none" w:sz="0" w:space="0" w:color="auto"/>
        <w:bottom w:val="none" w:sz="0" w:space="0" w:color="auto"/>
        <w:right w:val="none" w:sz="0" w:space="0" w:color="auto"/>
      </w:divBdr>
    </w:div>
    <w:div w:id="997147073">
      <w:marLeft w:val="0"/>
      <w:marRight w:val="0"/>
      <w:marTop w:val="0"/>
      <w:marBottom w:val="0"/>
      <w:divBdr>
        <w:top w:val="none" w:sz="0" w:space="0" w:color="auto"/>
        <w:left w:val="none" w:sz="0" w:space="0" w:color="auto"/>
        <w:bottom w:val="none" w:sz="0" w:space="0" w:color="auto"/>
        <w:right w:val="none" w:sz="0" w:space="0" w:color="auto"/>
      </w:divBdr>
    </w:div>
    <w:div w:id="997147074">
      <w:marLeft w:val="0"/>
      <w:marRight w:val="0"/>
      <w:marTop w:val="0"/>
      <w:marBottom w:val="0"/>
      <w:divBdr>
        <w:top w:val="none" w:sz="0" w:space="0" w:color="auto"/>
        <w:left w:val="none" w:sz="0" w:space="0" w:color="auto"/>
        <w:bottom w:val="none" w:sz="0" w:space="0" w:color="auto"/>
        <w:right w:val="none" w:sz="0" w:space="0" w:color="auto"/>
      </w:divBdr>
    </w:div>
    <w:div w:id="997147075">
      <w:marLeft w:val="0"/>
      <w:marRight w:val="0"/>
      <w:marTop w:val="0"/>
      <w:marBottom w:val="0"/>
      <w:divBdr>
        <w:top w:val="none" w:sz="0" w:space="0" w:color="auto"/>
        <w:left w:val="none" w:sz="0" w:space="0" w:color="auto"/>
        <w:bottom w:val="none" w:sz="0" w:space="0" w:color="auto"/>
        <w:right w:val="none" w:sz="0" w:space="0" w:color="auto"/>
      </w:divBdr>
    </w:div>
    <w:div w:id="99714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dc:description/>
  <cp:lastModifiedBy>Вячеслав</cp:lastModifiedBy>
  <cp:revision>10</cp:revision>
  <cp:lastPrinted>2018-03-12T12:08:00Z</cp:lastPrinted>
  <dcterms:created xsi:type="dcterms:W3CDTF">2018-03-12T10:25:00Z</dcterms:created>
  <dcterms:modified xsi:type="dcterms:W3CDTF">2018-07-12T05:43:00Z</dcterms:modified>
</cp:coreProperties>
</file>