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12" w:rsidRPr="00EA6F12" w:rsidRDefault="00EA6F12" w:rsidP="00EA6F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12">
        <w:rPr>
          <w:rFonts w:ascii="Times New Roman" w:hAnsi="Times New Roman" w:cs="Times New Roman"/>
          <w:b/>
          <w:sz w:val="28"/>
          <w:szCs w:val="28"/>
        </w:rPr>
        <w:t>Извещение о формировании участка недр местного значения</w:t>
      </w:r>
    </w:p>
    <w:p w:rsidR="00EA6F12" w:rsidRDefault="00EA6F12" w:rsidP="00EA6F12">
      <w:pPr>
        <w:pStyle w:val="ConsPlusNormal"/>
        <w:ind w:firstLine="539"/>
        <w:jc w:val="both"/>
      </w:pP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Для включения участка недр в перечень участков недр местного значения в орган государственной власти субъекта Российской Федерации представляется лично либо почтовым отправлением (в том числе с использованием электронной почты):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1) для субъектов предпринимательской деятельности - заявка, в которой указываются: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наименование и организационно-правовая форма, место нахождения юридического лица;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F12">
        <w:rPr>
          <w:rFonts w:ascii="Times New Roman" w:hAnsi="Times New Roman" w:cs="Times New Roman"/>
          <w:sz w:val="24"/>
          <w:szCs w:val="24"/>
        </w:rPr>
        <w:t>фамилия, имя, отчество (при наличии), место жительства, данные документа, удостоверяющего личность, - для индивидуального предпринимателя;</w:t>
      </w:r>
      <w:proofErr w:type="gramEnd"/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заявителя (при наличии);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- заявителя;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наименование участка недр, предлагаемого к включению в перечень участков недр местного значения;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вид общераспространенного полезного ископаемого, содержащегося на участке недр, и целевое назначение работ на участке недр;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2) для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- обращение, в котором указываются: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наименование органа государственной власти Российской Федерации, органа государственной власти субъекта Российской Федерации или органа местного самоуправления;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наименование участка недр, предлагаемого к включению в перечень участков недр местного значения;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вид общераспространенного полезного ископаемого, содержащегося на участке недр, и целевое назначение работ на участке недр.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К заявке (обращению) на включение участка недр в перечень участков недр местного значения прилагаются следующие документы и сведения: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1) топографическая карта с отображением границ участка недр, предлагаемого к включению в перечень участков недр местного значения (с указанием географических координат угловых точек и площади участка), границ месторождений и проявлений полезных ископаемых;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 xml:space="preserve">2) пояснительная записка к топографической карте, содержащая описание и геологическое обоснование указанных границ участка недр в соответствии с </w:t>
      </w:r>
      <w:hyperlink r:id="rId5" w:history="1">
        <w:r w:rsidRPr="00EA6F1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EA6F12">
        <w:rPr>
          <w:rFonts w:ascii="Times New Roman" w:hAnsi="Times New Roman" w:cs="Times New Roman"/>
          <w:sz w:val="24"/>
          <w:szCs w:val="24"/>
        </w:rPr>
        <w:t xml:space="preserve"> об установлении и изменении границ участков недр, предоставленных в пользование, утвержденным постановлением Правительства Российской Федерации от 3 мая 2012 г. N 429 (Собрание законодательства Российской Федерации, 2012, N 19, ст. 2445; </w:t>
      </w:r>
      <w:proofErr w:type="gramStart"/>
      <w:r w:rsidRPr="00EA6F12">
        <w:rPr>
          <w:rFonts w:ascii="Times New Roman" w:hAnsi="Times New Roman" w:cs="Times New Roman"/>
          <w:sz w:val="24"/>
          <w:szCs w:val="24"/>
        </w:rPr>
        <w:t>2017, N 22, ст. 3153);</w:t>
      </w:r>
      <w:proofErr w:type="gramEnd"/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3) сведения об участке недр, отражающие: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местоположение участка недр;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наименование и степень изученности месторождений и (или) проявлений полезных ископаемых, количество и категории запасов и прогнозных ресурсов полезных ископаемых;</w:t>
      </w:r>
    </w:p>
    <w:p w:rsidR="00EA6F12" w:rsidRP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A6F12">
        <w:rPr>
          <w:rFonts w:ascii="Times New Roman" w:hAnsi="Times New Roman" w:cs="Times New Roman"/>
          <w:sz w:val="24"/>
          <w:szCs w:val="24"/>
        </w:rPr>
        <w:t>наличие других пользователей недр на данном участке недр.</w:t>
      </w:r>
    </w:p>
    <w:p w:rsid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F12">
        <w:rPr>
          <w:rFonts w:ascii="Times New Roman" w:hAnsi="Times New Roman" w:cs="Times New Roman"/>
          <w:sz w:val="24"/>
          <w:szCs w:val="24"/>
        </w:rPr>
        <w:t>Заявитель вправе приложить к заявке (обращению) на включение участка недр в перечень участков недр местного значения согласие пользователя недр, в границах которого расположен предлагаемый к включению в перечень участков недр местного значения участок недр (в случае, если предлагаемый к включению в перечень участков недр местного значения участок недр расположен в границах участка недр, предоставленного в пользование).</w:t>
      </w:r>
      <w:proofErr w:type="gramEnd"/>
    </w:p>
    <w:p w:rsidR="00EA6F12" w:rsidRDefault="00EA6F12" w:rsidP="00EA6F1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  <w:sectPr w:rsidR="00EA6F12" w:rsidSect="00EA6F1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A6F12" w:rsidRDefault="00EA6F12">
      <w:pPr>
        <w:spacing w:after="1" w:line="240" w:lineRule="atLeast"/>
        <w:jc w:val="right"/>
      </w:pPr>
      <w:r>
        <w:rPr>
          <w:rFonts w:ascii="Times New Roman" w:hAnsi="Times New Roman" w:cs="Times New Roman"/>
          <w:sz w:val="24"/>
        </w:rPr>
        <w:lastRenderedPageBreak/>
        <w:t>Рекомендуемый образец</w:t>
      </w:r>
    </w:p>
    <w:p w:rsidR="00EA6F12" w:rsidRDefault="00EA6F12">
      <w:pPr>
        <w:spacing w:after="1" w:line="240" w:lineRule="atLeast"/>
        <w:jc w:val="both"/>
        <w:outlineLvl w:val="0"/>
      </w:pPr>
    </w:p>
    <w:p w:rsidR="00EA6F12" w:rsidRDefault="00EA6F12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Перечень</w:t>
      </w:r>
    </w:p>
    <w:p w:rsidR="00EA6F12" w:rsidRDefault="00EA6F12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 xml:space="preserve">участков недр местного значения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</w:p>
    <w:p w:rsidR="00EA6F12" w:rsidRDefault="00EA6F12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EA6F12" w:rsidRDefault="00EA6F12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(наименование субъекта Российской Федерации)</w:t>
      </w:r>
    </w:p>
    <w:p w:rsidR="00EA6F12" w:rsidRDefault="00EA6F12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07"/>
        <w:gridCol w:w="1361"/>
        <w:gridCol w:w="624"/>
        <w:gridCol w:w="680"/>
        <w:gridCol w:w="567"/>
        <w:gridCol w:w="680"/>
        <w:gridCol w:w="624"/>
        <w:gridCol w:w="454"/>
        <w:gridCol w:w="624"/>
        <w:gridCol w:w="624"/>
        <w:gridCol w:w="1286"/>
        <w:gridCol w:w="1291"/>
        <w:gridCol w:w="1579"/>
        <w:gridCol w:w="1531"/>
        <w:gridCol w:w="2268"/>
        <w:gridCol w:w="1247"/>
        <w:gridCol w:w="850"/>
      </w:tblGrid>
      <w:tr w:rsidR="00EA6F12">
        <w:tc>
          <w:tcPr>
            <w:tcW w:w="624" w:type="dxa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Вид полезного ископаемого</w:t>
            </w:r>
          </w:p>
        </w:tc>
        <w:tc>
          <w:tcPr>
            <w:tcW w:w="1361" w:type="dxa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Наименование участка недр (месторождение, участок, площадь), местоположение (район)</w:t>
            </w:r>
          </w:p>
        </w:tc>
        <w:tc>
          <w:tcPr>
            <w:tcW w:w="4877" w:type="dxa"/>
            <w:gridSpan w:val="8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Площадь, кв. км (S)</w:t>
            </w:r>
          </w:p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Географические координаты угловых точек границ участка недр</w:t>
            </w:r>
          </w:p>
        </w:tc>
        <w:tc>
          <w:tcPr>
            <w:tcW w:w="2577" w:type="dxa"/>
            <w:gridSpan w:val="2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Запасы и прогнозные ресурсы участка недр</w:t>
            </w:r>
          </w:p>
        </w:tc>
        <w:tc>
          <w:tcPr>
            <w:tcW w:w="1579" w:type="dxa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Месторождения и (или) проявления ОПИ </w:t>
            </w:r>
            <w:hyperlink w:anchor="P132" w:history="1">
              <w:r>
                <w:rPr>
                  <w:rFonts w:ascii="Times New Roman" w:hAnsi="Times New Roman" w:cs="Times New Roman"/>
                  <w:color w:val="0000FF"/>
                  <w:sz w:val="24"/>
                </w:rPr>
                <w:t>&lt;*&gt;</w:t>
              </w:r>
            </w:hyperlink>
          </w:p>
        </w:tc>
        <w:tc>
          <w:tcPr>
            <w:tcW w:w="1531" w:type="dxa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Реквизиты лицензии на пользование участком недр местного значения (в случае если участок недр предоставлен в пользование)</w:t>
            </w:r>
          </w:p>
        </w:tc>
        <w:tc>
          <w:tcPr>
            <w:tcW w:w="2268" w:type="dxa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Реквизиты лицензии на пользование участком недр, не относящимся к участку недр местного значения (в случае если участок недр находится в границах участка недр, предоставленного в пользование)</w:t>
            </w:r>
          </w:p>
        </w:tc>
        <w:tc>
          <w:tcPr>
            <w:tcW w:w="1247" w:type="dxa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Отнесение участка недр к распределенному или нераспределенному фонду недр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Ограничение пользования недрами</w:t>
            </w:r>
          </w:p>
        </w:tc>
      </w:tr>
      <w:tr w:rsidR="00EA6F12">
        <w:trPr>
          <w:trHeight w:val="509"/>
        </w:trPr>
        <w:tc>
          <w:tcPr>
            <w:tcW w:w="624" w:type="dxa"/>
            <w:vMerge/>
          </w:tcPr>
          <w:p w:rsidR="00EA6F12" w:rsidRDefault="00EA6F12"/>
        </w:tc>
        <w:tc>
          <w:tcPr>
            <w:tcW w:w="907" w:type="dxa"/>
            <w:vMerge/>
          </w:tcPr>
          <w:p w:rsidR="00EA6F12" w:rsidRDefault="00EA6F12"/>
        </w:tc>
        <w:tc>
          <w:tcPr>
            <w:tcW w:w="1361" w:type="dxa"/>
            <w:vMerge/>
          </w:tcPr>
          <w:p w:rsidR="00EA6F12" w:rsidRDefault="00EA6F12"/>
        </w:tc>
        <w:tc>
          <w:tcPr>
            <w:tcW w:w="4877" w:type="dxa"/>
            <w:gridSpan w:val="8"/>
            <w:vMerge/>
          </w:tcPr>
          <w:p w:rsidR="00EA6F12" w:rsidRDefault="00EA6F12"/>
        </w:tc>
        <w:tc>
          <w:tcPr>
            <w:tcW w:w="1286" w:type="dxa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Количество запасов и прогнозных ресурсов (с указанием категории) (ед. изм.)</w:t>
            </w:r>
          </w:p>
        </w:tc>
        <w:tc>
          <w:tcPr>
            <w:tcW w:w="1291" w:type="dxa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Протокол экспертизы запасов полезных ископаемых (при наличии) (экспертный орган, номер, дата)</w:t>
            </w:r>
          </w:p>
        </w:tc>
        <w:tc>
          <w:tcPr>
            <w:tcW w:w="1579" w:type="dxa"/>
            <w:vMerge/>
          </w:tcPr>
          <w:p w:rsidR="00EA6F12" w:rsidRDefault="00EA6F12"/>
        </w:tc>
        <w:tc>
          <w:tcPr>
            <w:tcW w:w="1531" w:type="dxa"/>
            <w:vMerge/>
          </w:tcPr>
          <w:p w:rsidR="00EA6F12" w:rsidRDefault="00EA6F12"/>
        </w:tc>
        <w:tc>
          <w:tcPr>
            <w:tcW w:w="2268" w:type="dxa"/>
            <w:vMerge/>
          </w:tcPr>
          <w:p w:rsidR="00EA6F12" w:rsidRDefault="00EA6F12"/>
        </w:tc>
        <w:tc>
          <w:tcPr>
            <w:tcW w:w="1247" w:type="dxa"/>
            <w:vMerge/>
          </w:tcPr>
          <w:p w:rsidR="00EA6F12" w:rsidRDefault="00EA6F12"/>
        </w:tc>
        <w:tc>
          <w:tcPr>
            <w:tcW w:w="850" w:type="dxa"/>
            <w:vMerge/>
            <w:tcBorders>
              <w:right w:val="nil"/>
            </w:tcBorders>
          </w:tcPr>
          <w:p w:rsidR="00EA6F12" w:rsidRDefault="00EA6F12"/>
        </w:tc>
      </w:tr>
      <w:tr w:rsidR="00EA6F12">
        <w:tc>
          <w:tcPr>
            <w:tcW w:w="624" w:type="dxa"/>
            <w:vMerge/>
          </w:tcPr>
          <w:p w:rsidR="00EA6F12" w:rsidRDefault="00EA6F12"/>
        </w:tc>
        <w:tc>
          <w:tcPr>
            <w:tcW w:w="907" w:type="dxa"/>
            <w:vMerge/>
          </w:tcPr>
          <w:p w:rsidR="00EA6F12" w:rsidRDefault="00EA6F12"/>
        </w:tc>
        <w:tc>
          <w:tcPr>
            <w:tcW w:w="1361" w:type="dxa"/>
            <w:vMerge/>
          </w:tcPr>
          <w:p w:rsidR="00EA6F12" w:rsidRDefault="00EA6F12"/>
        </w:tc>
        <w:tc>
          <w:tcPr>
            <w:tcW w:w="624" w:type="dxa"/>
            <w:vMerge w:val="restart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551" w:type="dxa"/>
            <w:gridSpan w:val="4"/>
          </w:tcPr>
          <w:p w:rsidR="00EA6F12" w:rsidRDefault="00EA6F12">
            <w:pPr>
              <w:spacing w:after="1" w:line="24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02" w:type="dxa"/>
            <w:gridSpan w:val="3"/>
          </w:tcPr>
          <w:p w:rsidR="00EA6F12" w:rsidRDefault="00EA6F12">
            <w:pPr>
              <w:spacing w:after="1" w:line="24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86" w:type="dxa"/>
            <w:vMerge/>
          </w:tcPr>
          <w:p w:rsidR="00EA6F12" w:rsidRDefault="00EA6F12"/>
        </w:tc>
        <w:tc>
          <w:tcPr>
            <w:tcW w:w="1291" w:type="dxa"/>
            <w:vMerge/>
          </w:tcPr>
          <w:p w:rsidR="00EA6F12" w:rsidRDefault="00EA6F12"/>
        </w:tc>
        <w:tc>
          <w:tcPr>
            <w:tcW w:w="1579" w:type="dxa"/>
            <w:vMerge/>
          </w:tcPr>
          <w:p w:rsidR="00EA6F12" w:rsidRDefault="00EA6F12"/>
        </w:tc>
        <w:tc>
          <w:tcPr>
            <w:tcW w:w="1531" w:type="dxa"/>
            <w:vMerge/>
          </w:tcPr>
          <w:p w:rsidR="00EA6F12" w:rsidRDefault="00EA6F12"/>
        </w:tc>
        <w:tc>
          <w:tcPr>
            <w:tcW w:w="2268" w:type="dxa"/>
            <w:vMerge/>
          </w:tcPr>
          <w:p w:rsidR="00EA6F12" w:rsidRDefault="00EA6F12"/>
        </w:tc>
        <w:tc>
          <w:tcPr>
            <w:tcW w:w="1247" w:type="dxa"/>
            <w:vMerge/>
          </w:tcPr>
          <w:p w:rsidR="00EA6F12" w:rsidRDefault="00EA6F12"/>
        </w:tc>
        <w:tc>
          <w:tcPr>
            <w:tcW w:w="850" w:type="dxa"/>
            <w:vMerge/>
            <w:tcBorders>
              <w:right w:val="nil"/>
            </w:tcBorders>
          </w:tcPr>
          <w:p w:rsidR="00EA6F12" w:rsidRDefault="00EA6F12"/>
        </w:tc>
      </w:tr>
      <w:tr w:rsidR="00EA6F12">
        <w:tc>
          <w:tcPr>
            <w:tcW w:w="624" w:type="dxa"/>
            <w:vMerge/>
          </w:tcPr>
          <w:p w:rsidR="00EA6F12" w:rsidRDefault="00EA6F12"/>
        </w:tc>
        <w:tc>
          <w:tcPr>
            <w:tcW w:w="907" w:type="dxa"/>
            <w:vMerge/>
          </w:tcPr>
          <w:p w:rsidR="00EA6F12" w:rsidRDefault="00EA6F12"/>
        </w:tc>
        <w:tc>
          <w:tcPr>
            <w:tcW w:w="1361" w:type="dxa"/>
            <w:vMerge/>
          </w:tcPr>
          <w:p w:rsidR="00EA6F12" w:rsidRDefault="00EA6F12"/>
        </w:tc>
        <w:tc>
          <w:tcPr>
            <w:tcW w:w="624" w:type="dxa"/>
            <w:vMerge/>
          </w:tcPr>
          <w:p w:rsidR="00EA6F12" w:rsidRDefault="00EA6F12"/>
        </w:tc>
        <w:tc>
          <w:tcPr>
            <w:tcW w:w="680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67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град.</w:t>
            </w:r>
          </w:p>
        </w:tc>
        <w:tc>
          <w:tcPr>
            <w:tcW w:w="680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сек.</w:t>
            </w:r>
          </w:p>
        </w:tc>
        <w:tc>
          <w:tcPr>
            <w:tcW w:w="454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град.</w:t>
            </w: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мин.</w:t>
            </w: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сек.</w:t>
            </w:r>
          </w:p>
        </w:tc>
        <w:tc>
          <w:tcPr>
            <w:tcW w:w="1286" w:type="dxa"/>
            <w:vMerge/>
          </w:tcPr>
          <w:p w:rsidR="00EA6F12" w:rsidRDefault="00EA6F12"/>
        </w:tc>
        <w:tc>
          <w:tcPr>
            <w:tcW w:w="1291" w:type="dxa"/>
            <w:vMerge/>
          </w:tcPr>
          <w:p w:rsidR="00EA6F12" w:rsidRDefault="00EA6F12"/>
        </w:tc>
        <w:tc>
          <w:tcPr>
            <w:tcW w:w="1579" w:type="dxa"/>
            <w:vMerge/>
          </w:tcPr>
          <w:p w:rsidR="00EA6F12" w:rsidRDefault="00EA6F12"/>
        </w:tc>
        <w:tc>
          <w:tcPr>
            <w:tcW w:w="1531" w:type="dxa"/>
            <w:vMerge/>
          </w:tcPr>
          <w:p w:rsidR="00EA6F12" w:rsidRDefault="00EA6F12"/>
        </w:tc>
        <w:tc>
          <w:tcPr>
            <w:tcW w:w="2268" w:type="dxa"/>
            <w:vMerge/>
          </w:tcPr>
          <w:p w:rsidR="00EA6F12" w:rsidRDefault="00EA6F12"/>
        </w:tc>
        <w:tc>
          <w:tcPr>
            <w:tcW w:w="1247" w:type="dxa"/>
            <w:vMerge/>
          </w:tcPr>
          <w:p w:rsidR="00EA6F12" w:rsidRDefault="00EA6F12"/>
        </w:tc>
        <w:tc>
          <w:tcPr>
            <w:tcW w:w="850" w:type="dxa"/>
            <w:vMerge/>
            <w:tcBorders>
              <w:right w:val="nil"/>
            </w:tcBorders>
          </w:tcPr>
          <w:p w:rsidR="00EA6F12" w:rsidRDefault="00EA6F12"/>
        </w:tc>
      </w:tr>
      <w:tr w:rsidR="00EA6F12">
        <w:tc>
          <w:tcPr>
            <w:tcW w:w="624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07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1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77" w:type="dxa"/>
            <w:gridSpan w:val="8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77" w:type="dxa"/>
            <w:gridSpan w:val="2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79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31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47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0" w:type="dxa"/>
            <w:tcBorders>
              <w:right w:val="nil"/>
            </w:tcBorders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A6F12"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90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36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80" w:type="dxa"/>
            <w:vAlign w:val="bottom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80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45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86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9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579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53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2268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4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EA6F12" w:rsidRDefault="00EA6F12">
            <w:pPr>
              <w:spacing w:after="1" w:line="240" w:lineRule="atLeast"/>
            </w:pPr>
          </w:p>
        </w:tc>
      </w:tr>
      <w:tr w:rsidR="00EA6F12"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90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36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80" w:type="dxa"/>
            <w:vAlign w:val="bottom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80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45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86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9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579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53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2268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4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EA6F12" w:rsidRDefault="00EA6F12">
            <w:pPr>
              <w:spacing w:after="1" w:line="240" w:lineRule="atLeast"/>
            </w:pPr>
          </w:p>
        </w:tc>
      </w:tr>
      <w:tr w:rsidR="00EA6F12"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90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36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80" w:type="dxa"/>
            <w:vAlign w:val="center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80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45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86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9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579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53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2268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4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EA6F12" w:rsidRDefault="00EA6F12">
            <w:pPr>
              <w:spacing w:after="1" w:line="240" w:lineRule="atLeast"/>
            </w:pPr>
          </w:p>
        </w:tc>
      </w:tr>
      <w:tr w:rsidR="00EA6F12"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90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36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80" w:type="dxa"/>
            <w:vAlign w:val="center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80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45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86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9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579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53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2268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4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EA6F12" w:rsidRDefault="00EA6F12">
            <w:pPr>
              <w:spacing w:after="1" w:line="240" w:lineRule="atLeast"/>
            </w:pPr>
          </w:p>
        </w:tc>
      </w:tr>
      <w:tr w:rsidR="00EA6F12"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90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36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80" w:type="dxa"/>
          </w:tcPr>
          <w:p w:rsidR="00EA6F12" w:rsidRDefault="00EA6F12">
            <w:pPr>
              <w:spacing w:after="1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80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45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624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86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9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579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531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2268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1247" w:type="dxa"/>
          </w:tcPr>
          <w:p w:rsidR="00EA6F12" w:rsidRDefault="00EA6F12">
            <w:pPr>
              <w:spacing w:after="1" w:line="240" w:lineRule="atLeast"/>
            </w:pPr>
          </w:p>
        </w:tc>
        <w:tc>
          <w:tcPr>
            <w:tcW w:w="850" w:type="dxa"/>
            <w:tcBorders>
              <w:right w:val="nil"/>
            </w:tcBorders>
          </w:tcPr>
          <w:p w:rsidR="00EA6F12" w:rsidRDefault="00EA6F12">
            <w:pPr>
              <w:spacing w:after="1" w:line="240" w:lineRule="atLeast"/>
            </w:pPr>
          </w:p>
        </w:tc>
      </w:tr>
    </w:tbl>
    <w:p w:rsidR="00EA6F12" w:rsidRDefault="00EA6F12">
      <w:pPr>
        <w:spacing w:after="1" w:line="240" w:lineRule="atLeast"/>
        <w:jc w:val="both"/>
      </w:pPr>
      <w:bookmarkStart w:id="0" w:name="_GoBack"/>
      <w:bookmarkEnd w:id="0"/>
    </w:p>
    <w:sectPr w:rsidR="00EA6F12" w:rsidSect="00211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12"/>
    <w:rsid w:val="00467865"/>
    <w:rsid w:val="00B01CCD"/>
    <w:rsid w:val="00E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4E048878FE3F5F859289E02B0DD5173C11CC555177DC0BB6A5A628DBA94E8DFCBBF4ACB05603E99961C5C13C31F070FAA61A72852E836Fo6W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Sakladov</dc:creator>
  <cp:lastModifiedBy>Sakladov</cp:lastModifiedBy>
  <cp:revision>1</cp:revision>
  <dcterms:created xsi:type="dcterms:W3CDTF">2021-11-24T08:22:00Z</dcterms:created>
  <dcterms:modified xsi:type="dcterms:W3CDTF">2021-11-24T08:26:00Z</dcterms:modified>
</cp:coreProperties>
</file>