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621D53E2" w:rsidR="008C450B" w:rsidRPr="008D15F6" w:rsidRDefault="00F0317F" w:rsidP="00F0317F">
      <w:pPr>
        <w:tabs>
          <w:tab w:val="left" w:pos="5640"/>
        </w:tabs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1A27F905" wp14:editId="0A88E839">
            <wp:extent cx="723600" cy="712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AB383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(АР Минарбӱткен)</w:t>
            </w:r>
          </w:p>
        </w:tc>
      </w:tr>
      <w:tr w:rsidR="008C450B" w14:paraId="301E0D1C" w14:textId="77777777" w:rsidTr="00AB383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AB383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AB383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AB383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AB383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26482685" w:rsidR="008C450B" w:rsidRDefault="008C450B" w:rsidP="00F873C2">
            <w:pPr>
              <w:ind w:left="-103" w:right="-102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F873C2">
              <w:rPr>
                <w:bCs/>
                <w:color w:val="000000"/>
                <w:sz w:val="28"/>
                <w:szCs w:val="28"/>
                <w:u w:val="single"/>
              </w:rPr>
              <w:t>11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873C2">
              <w:rPr>
                <w:bCs/>
                <w:color w:val="000000"/>
                <w:sz w:val="28"/>
                <w:szCs w:val="28"/>
                <w:u w:val="single"/>
              </w:rPr>
              <w:t>января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435A7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AB3835">
              <w:rPr>
                <w:bCs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7C79DB13" w:rsidR="008C450B" w:rsidRPr="00435A73" w:rsidRDefault="00435A73" w:rsidP="00F873C2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F873C2">
              <w:rPr>
                <w:bCs/>
                <w:color w:val="000000"/>
                <w:sz w:val="28"/>
                <w:szCs w:val="28"/>
                <w:u w:val="single"/>
              </w:rPr>
              <w:t>1</w:t>
            </w:r>
            <w:bookmarkStart w:id="0" w:name="_GoBack"/>
            <w:bookmarkEnd w:id="0"/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AB383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AB3835">
        <w:trPr>
          <w:trHeight w:val="40"/>
        </w:trPr>
        <w:tc>
          <w:tcPr>
            <w:tcW w:w="9645" w:type="dxa"/>
            <w:gridSpan w:val="10"/>
            <w:hideMark/>
          </w:tcPr>
          <w:p w14:paraId="6B47E3BD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</w:tc>
      </w:tr>
      <w:tr w:rsidR="008C450B" w14:paraId="7ADC5878" w14:textId="77777777" w:rsidTr="00AB3835">
        <w:trPr>
          <w:trHeight w:val="70"/>
        </w:trPr>
        <w:tc>
          <w:tcPr>
            <w:tcW w:w="9645" w:type="dxa"/>
            <w:gridSpan w:val="10"/>
          </w:tcPr>
          <w:p w14:paraId="462E576A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</w:tbl>
    <w:p w14:paraId="2EF118F0" w14:textId="77777777" w:rsidR="00F0317F" w:rsidRDefault="00AB3835" w:rsidP="00AB3835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представлении права пользования участками недр местного значения </w:t>
      </w:r>
      <w:r w:rsidRPr="00B35932">
        <w:rPr>
          <w:b/>
          <w:sz w:val="28"/>
          <w:szCs w:val="28"/>
        </w:rPr>
        <w:t>«Скв.</w:t>
      </w:r>
      <w:r>
        <w:rPr>
          <w:b/>
          <w:sz w:val="28"/>
          <w:szCs w:val="28"/>
        </w:rPr>
        <w:t xml:space="preserve"> №63/74</w:t>
      </w:r>
      <w:r w:rsidRPr="00B3593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«Скв. б/н (06)», «Скв. б/н (06)/1», «Скв. б/н (2010)», </w:t>
      </w:r>
    </w:p>
    <w:p w14:paraId="07B216F0" w14:textId="360D1526" w:rsidR="00AB3835" w:rsidRDefault="00AB3835" w:rsidP="00AB3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«Скв. б/н (2011)», «Скв. №Г27/89», «Скв. №Г26/89», «Скв. б/н (71)», «Скв. №Г4/91», «Скв. б/н (14)», «Скв. б/н (16)»</w:t>
      </w:r>
      <w:r w:rsidRPr="00B35932">
        <w:rPr>
          <w:b/>
          <w:sz w:val="28"/>
          <w:szCs w:val="28"/>
        </w:rPr>
        <w:t xml:space="preserve"> </w:t>
      </w:r>
    </w:p>
    <w:p w14:paraId="5626B254" w14:textId="77777777" w:rsidR="00AB3835" w:rsidRDefault="00AB3835" w:rsidP="00AB3835">
      <w:pPr>
        <w:jc w:val="center"/>
        <w:rPr>
          <w:b/>
          <w:sz w:val="28"/>
          <w:szCs w:val="28"/>
        </w:rPr>
      </w:pPr>
      <w:r w:rsidRPr="00250DF0">
        <w:rPr>
          <w:b/>
          <w:sz w:val="28"/>
          <w:szCs w:val="28"/>
        </w:rPr>
        <w:t>для добычи подземных вод</w:t>
      </w:r>
      <w:r>
        <w:rPr>
          <w:b/>
          <w:sz w:val="28"/>
          <w:szCs w:val="28"/>
        </w:rPr>
        <w:t xml:space="preserve"> </w:t>
      </w:r>
    </w:p>
    <w:p w14:paraId="259422C0" w14:textId="77777777" w:rsidR="00AB3835" w:rsidRPr="00A52340" w:rsidRDefault="00AB3835" w:rsidP="00AB3835">
      <w:pPr>
        <w:ind w:firstLine="709"/>
        <w:jc w:val="center"/>
        <w:rPr>
          <w:b/>
          <w:sz w:val="16"/>
          <w:szCs w:val="16"/>
        </w:rPr>
      </w:pPr>
    </w:p>
    <w:p w14:paraId="3F05D83F" w14:textId="77777777" w:rsidR="00AB3835" w:rsidRPr="00C16546" w:rsidRDefault="00AB3835" w:rsidP="00AB3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природных ресурсов, экологии и туризма Республики Алтай от 1 апреля 2019 года №283, </w:t>
      </w:r>
      <w:r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>
        <w:rPr>
          <w:sz w:val="28"/>
          <w:szCs w:val="28"/>
        </w:rPr>
        <w:t xml:space="preserve">туризма </w:t>
      </w:r>
      <w:r w:rsidRPr="00C16546">
        <w:rPr>
          <w:sz w:val="28"/>
          <w:szCs w:val="28"/>
        </w:rPr>
        <w:t xml:space="preserve">Республики Алтай, от </w:t>
      </w:r>
      <w:r>
        <w:rPr>
          <w:sz w:val="28"/>
          <w:szCs w:val="28"/>
        </w:rPr>
        <w:t>11 января</w:t>
      </w:r>
      <w:r w:rsidRPr="00C16546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C16546">
        <w:rPr>
          <w:sz w:val="28"/>
          <w:szCs w:val="28"/>
        </w:rPr>
        <w:t xml:space="preserve"> г. № </w:t>
      </w:r>
      <w:r>
        <w:rPr>
          <w:sz w:val="28"/>
          <w:szCs w:val="28"/>
        </w:rPr>
        <w:t>570</w:t>
      </w:r>
      <w:r w:rsidRPr="00C16546">
        <w:rPr>
          <w:sz w:val="28"/>
          <w:szCs w:val="28"/>
        </w:rPr>
        <w:t xml:space="preserve">, </w:t>
      </w:r>
    </w:p>
    <w:p w14:paraId="5E45C113" w14:textId="77777777" w:rsidR="00AB3835" w:rsidRPr="005D5D0D" w:rsidRDefault="00AB3835" w:rsidP="00AB3835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14:paraId="350CEE17" w14:textId="1C519534" w:rsidR="00AB3835" w:rsidRDefault="00AB3835" w:rsidP="00AB3835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>
        <w:rPr>
          <w:sz w:val="28"/>
          <w:szCs w:val="28"/>
        </w:rPr>
        <w:t xml:space="preserve">муниципальному унитарному предприятию «Тепловодстрой Сервис» </w:t>
      </w:r>
      <w:r w:rsidRPr="00C16546">
        <w:rPr>
          <w:sz w:val="28"/>
          <w:szCs w:val="28"/>
        </w:rPr>
        <w:t>право пользования участк</w:t>
      </w:r>
      <w:r>
        <w:rPr>
          <w:sz w:val="28"/>
          <w:szCs w:val="28"/>
        </w:rPr>
        <w:t>ами</w:t>
      </w:r>
      <w:r w:rsidRPr="00C16546">
        <w:rPr>
          <w:sz w:val="28"/>
          <w:szCs w:val="28"/>
        </w:rPr>
        <w:t xml:space="preserve"> недр местного значения </w:t>
      </w:r>
      <w:r w:rsidRPr="00B7747B">
        <w:rPr>
          <w:sz w:val="28"/>
          <w:szCs w:val="28"/>
        </w:rPr>
        <w:t>«Скв. №63/74», «Скв. б/н (06)», «Скв. б/н (06)/1», «Скв. б/н (2010)», «Скв. б/н (2011)», «Скв. №Г27/89», «Скв. №</w:t>
      </w:r>
      <w:r>
        <w:rPr>
          <w:sz w:val="28"/>
          <w:szCs w:val="28"/>
        </w:rPr>
        <w:t>Г26/89», «Скв. б/н (71)», «Скв. </w:t>
      </w:r>
      <w:r w:rsidRPr="00B7747B">
        <w:rPr>
          <w:sz w:val="28"/>
          <w:szCs w:val="28"/>
        </w:rPr>
        <w:t xml:space="preserve">№Г4/91», «Скв. б/н (14)», «Скв. б/н (16)» </w:t>
      </w:r>
      <w:r w:rsidRPr="00C16546">
        <w:rPr>
          <w:sz w:val="28"/>
          <w:szCs w:val="28"/>
        </w:rPr>
        <w:t xml:space="preserve">для добычи подземных вод сроком до </w:t>
      </w:r>
      <w:r>
        <w:rPr>
          <w:sz w:val="28"/>
          <w:szCs w:val="28"/>
        </w:rPr>
        <w:t>1</w:t>
      </w:r>
      <w:r w:rsidRPr="00C16546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C16546">
        <w:rPr>
          <w:sz w:val="28"/>
          <w:szCs w:val="28"/>
        </w:rPr>
        <w:t xml:space="preserve"> 204</w:t>
      </w:r>
      <w:r>
        <w:rPr>
          <w:sz w:val="28"/>
          <w:szCs w:val="28"/>
        </w:rPr>
        <w:t>6</w:t>
      </w:r>
      <w:r w:rsidRPr="00C16546">
        <w:rPr>
          <w:sz w:val="28"/>
          <w:szCs w:val="28"/>
        </w:rPr>
        <w:t xml:space="preserve"> года.</w:t>
      </w:r>
    </w:p>
    <w:p w14:paraId="3E3A1C0E" w14:textId="1891B6EF" w:rsidR="00F0317F" w:rsidRDefault="00AB3835" w:rsidP="00F0317F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>
        <w:rPr>
          <w:sz w:val="28"/>
          <w:szCs w:val="28"/>
        </w:rPr>
        <w:t>ами</w:t>
      </w:r>
      <w:r w:rsidRPr="00C16546">
        <w:rPr>
          <w:sz w:val="28"/>
          <w:szCs w:val="28"/>
        </w:rPr>
        <w:t xml:space="preserve"> недр </w:t>
      </w:r>
    </w:p>
    <w:p w14:paraId="58B742EC" w14:textId="77777777" w:rsidR="00F0317F" w:rsidRDefault="00F0317F" w:rsidP="00AB3835">
      <w:pPr>
        <w:ind w:firstLine="709"/>
        <w:jc w:val="both"/>
        <w:rPr>
          <w:sz w:val="28"/>
          <w:szCs w:val="28"/>
        </w:rPr>
        <w:sectPr w:rsidR="00F0317F" w:rsidSect="00F0317F">
          <w:headerReference w:type="even" r:id="rId8"/>
          <w:headerReference w:type="default" r:id="rId9"/>
          <w:pgSz w:w="11906" w:h="16838"/>
          <w:pgMar w:top="567" w:right="567" w:bottom="1134" w:left="1701" w:header="0" w:footer="709" w:gutter="0"/>
          <w:pgNumType w:start="76"/>
          <w:cols w:space="708"/>
          <w:titlePg/>
          <w:docGrid w:linePitch="360"/>
        </w:sectPr>
      </w:pPr>
    </w:p>
    <w:p w14:paraId="1FB13AEA" w14:textId="6B87EDB6" w:rsidR="00AB3835" w:rsidRPr="0097674D" w:rsidRDefault="00AB3835" w:rsidP="00F0317F">
      <w:pPr>
        <w:jc w:val="both"/>
        <w:rPr>
          <w:sz w:val="28"/>
          <w:szCs w:val="28"/>
        </w:rPr>
      </w:pPr>
      <w:r w:rsidRPr="00C16546">
        <w:rPr>
          <w:sz w:val="28"/>
          <w:szCs w:val="28"/>
        </w:rPr>
        <w:lastRenderedPageBreak/>
        <w:t xml:space="preserve">местного значения </w:t>
      </w:r>
      <w:r w:rsidRPr="00B35932">
        <w:rPr>
          <w:sz w:val="28"/>
          <w:szCs w:val="28"/>
        </w:rPr>
        <w:t>«</w:t>
      </w:r>
      <w:r w:rsidRPr="00B7747B">
        <w:rPr>
          <w:sz w:val="28"/>
          <w:szCs w:val="28"/>
        </w:rPr>
        <w:t>Скв. №63/74», «Скв. б/н (06)», «Скв. б/н (06)/1», «Скв. б/н (2010)», «Скв. б/н (2011)», «Скв. №Г27/89», «Скв. №Г26/89», «Скв.</w:t>
      </w:r>
      <w:r>
        <w:rPr>
          <w:sz w:val="28"/>
          <w:szCs w:val="28"/>
        </w:rPr>
        <w:t> </w:t>
      </w:r>
      <w:r w:rsidRPr="00B7747B">
        <w:rPr>
          <w:sz w:val="28"/>
          <w:szCs w:val="28"/>
        </w:rPr>
        <w:t xml:space="preserve">б/н (71)», «Скв. №Г4/91», «Скв. б/н (14)», «Скв. б/н (16)» </w:t>
      </w:r>
      <w:r w:rsidRPr="00250DF0">
        <w:rPr>
          <w:sz w:val="28"/>
          <w:szCs w:val="28"/>
        </w:rPr>
        <w:t>для добычи подземных вод</w:t>
      </w:r>
      <w:r>
        <w:rPr>
          <w:sz w:val="28"/>
          <w:szCs w:val="28"/>
        </w:rPr>
        <w:t>.</w:t>
      </w:r>
    </w:p>
    <w:p w14:paraId="6D2DF43B" w14:textId="77777777" w:rsidR="00AB3835" w:rsidRDefault="00AB3835" w:rsidP="00AB3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5E40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</w:t>
      </w:r>
      <w:r w:rsidRPr="00FE5E40">
        <w:rPr>
          <w:sz w:val="28"/>
          <w:szCs w:val="28"/>
        </w:rPr>
        <w:t xml:space="preserve">риказа </w:t>
      </w:r>
      <w:r>
        <w:rPr>
          <w:sz w:val="28"/>
          <w:szCs w:val="28"/>
        </w:rPr>
        <w:t>возложить на заместителя министра Е.А. Мунатова.</w:t>
      </w:r>
    </w:p>
    <w:p w14:paraId="16FF5CE1" w14:textId="77777777" w:rsidR="00AB3835" w:rsidRDefault="00AB3835" w:rsidP="00AB3835">
      <w:pPr>
        <w:ind w:firstLine="709"/>
        <w:contextualSpacing/>
        <w:jc w:val="both"/>
        <w:rPr>
          <w:sz w:val="28"/>
          <w:szCs w:val="28"/>
        </w:rPr>
      </w:pPr>
    </w:p>
    <w:p w14:paraId="5D9AF316" w14:textId="59BC4323" w:rsidR="00AB3835" w:rsidRDefault="00AB3835" w:rsidP="00AB3835">
      <w:pPr>
        <w:jc w:val="both"/>
        <w:rPr>
          <w:sz w:val="28"/>
          <w:szCs w:val="28"/>
        </w:rPr>
      </w:pPr>
    </w:p>
    <w:p w14:paraId="266872ED" w14:textId="77777777" w:rsidR="00F0317F" w:rsidRDefault="00F0317F" w:rsidP="00AB3835">
      <w:pPr>
        <w:jc w:val="both"/>
        <w:rPr>
          <w:sz w:val="28"/>
          <w:szCs w:val="28"/>
        </w:rPr>
      </w:pPr>
    </w:p>
    <w:p w14:paraId="08A60163" w14:textId="42CD517F" w:rsidR="00AB3835" w:rsidRPr="00FE5E40" w:rsidRDefault="00AB3835" w:rsidP="00AB383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E5E40">
        <w:rPr>
          <w:sz w:val="28"/>
          <w:szCs w:val="28"/>
        </w:rPr>
        <w:t>инистр</w:t>
      </w:r>
      <w:r w:rsidR="00F0317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                          Е.О. Поварова</w:t>
      </w:r>
    </w:p>
    <w:p w14:paraId="638FF31A" w14:textId="77777777" w:rsidR="00AB3835" w:rsidRDefault="00AB3835" w:rsidP="00AB3835">
      <w:pPr>
        <w:ind w:left="-540"/>
        <w:jc w:val="both"/>
        <w:rPr>
          <w:sz w:val="28"/>
          <w:szCs w:val="28"/>
        </w:rPr>
      </w:pPr>
    </w:p>
    <w:p w14:paraId="246E18DE" w14:textId="77777777" w:rsidR="00AB3835" w:rsidRDefault="00AB3835" w:rsidP="00AB383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C37288D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  <w:r w:rsidRPr="00F0317F">
        <w:rPr>
          <w:sz w:val="28"/>
          <w:szCs w:val="28"/>
        </w:rPr>
        <w:lastRenderedPageBreak/>
        <w:t>Согласовано:</w:t>
      </w:r>
    </w:p>
    <w:p w14:paraId="6B1BB39D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  <w:r w:rsidRPr="00F0317F">
        <w:rPr>
          <w:sz w:val="28"/>
          <w:szCs w:val="28"/>
        </w:rPr>
        <w:t>заместитель министра</w:t>
      </w:r>
    </w:p>
    <w:p w14:paraId="20C67AC2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  <w:r w:rsidRPr="00F0317F">
        <w:rPr>
          <w:sz w:val="28"/>
          <w:szCs w:val="28"/>
        </w:rPr>
        <w:t>_______________ Е.А. Мунатов</w:t>
      </w:r>
    </w:p>
    <w:p w14:paraId="79602D87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  <w:r w:rsidRPr="00F0317F">
        <w:rPr>
          <w:sz w:val="28"/>
          <w:szCs w:val="28"/>
        </w:rPr>
        <w:t>«___» _________ 2021 г</w:t>
      </w:r>
    </w:p>
    <w:p w14:paraId="79BF9810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4639A01D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2BC04D95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0B6D06D4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  <w:r w:rsidRPr="00F0317F">
        <w:rPr>
          <w:sz w:val="28"/>
          <w:szCs w:val="28"/>
        </w:rPr>
        <w:t>Начальник отдела недропользования и водных отношений</w:t>
      </w:r>
    </w:p>
    <w:p w14:paraId="70ABA13E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  <w:r w:rsidRPr="00F0317F">
        <w:rPr>
          <w:sz w:val="28"/>
          <w:szCs w:val="28"/>
        </w:rPr>
        <w:t>_______________А.С. Сакладов</w:t>
      </w:r>
    </w:p>
    <w:p w14:paraId="0355CA81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  <w:r w:rsidRPr="00F0317F">
        <w:rPr>
          <w:sz w:val="28"/>
          <w:szCs w:val="28"/>
        </w:rPr>
        <w:t>«____» ________ 2021 г</w:t>
      </w:r>
    </w:p>
    <w:p w14:paraId="0D465776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5E95FDDE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3B3909BC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16375435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63A61FBD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771C6F1F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18DFF3D2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3B7974CC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3D828EFA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54B3D0A1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11579917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6898D0B5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498BA94A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0DEA4730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6FB9C4F7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44C63157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025FA8F5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2AE16405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23C6E352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200B808E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744F912A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2B80E056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0A2B0243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2F026E9A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0B59CE82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0F540C6C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266D51BE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4AE5BCF1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6A8E3800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6D0738A8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49156B02" w14:textId="4C6715BC" w:rsidR="00F0317F" w:rsidRDefault="00F0317F" w:rsidP="00F0317F">
      <w:pPr>
        <w:ind w:firstLine="709"/>
        <w:jc w:val="both"/>
        <w:rPr>
          <w:sz w:val="28"/>
          <w:szCs w:val="28"/>
        </w:rPr>
      </w:pPr>
    </w:p>
    <w:p w14:paraId="29B9BBAB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55B70DCF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6A998F1F" w14:textId="77777777" w:rsidR="00F0317F" w:rsidRPr="00F0317F" w:rsidRDefault="00F0317F" w:rsidP="00F0317F">
      <w:pPr>
        <w:ind w:firstLine="709"/>
        <w:jc w:val="both"/>
      </w:pPr>
      <w:r w:rsidRPr="00F0317F">
        <w:t>Амургушева Алла Александровна, отдел недропользования и водных отношений,</w:t>
      </w:r>
    </w:p>
    <w:p w14:paraId="0047E738" w14:textId="1461E766" w:rsidR="008C450B" w:rsidRPr="00B17DA1" w:rsidRDefault="00F0317F" w:rsidP="00F0317F">
      <w:pPr>
        <w:ind w:firstLine="709"/>
        <w:jc w:val="both"/>
        <w:rPr>
          <w:color w:val="FF0000"/>
          <w:sz w:val="20"/>
          <w:szCs w:val="20"/>
        </w:rPr>
      </w:pPr>
      <w:r w:rsidRPr="00F0317F">
        <w:t>главный специалист, mpr_ra@mail.ru, 6-25-27</w:t>
      </w:r>
    </w:p>
    <w:sectPr w:rsidR="008C450B" w:rsidRPr="00B17DA1" w:rsidSect="00775F7B">
      <w:pgSz w:w="11906" w:h="16838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927B0" w14:textId="77777777" w:rsidR="008B25D6" w:rsidRDefault="008B25D6" w:rsidP="00BF7744">
      <w:r>
        <w:separator/>
      </w:r>
    </w:p>
  </w:endnote>
  <w:endnote w:type="continuationSeparator" w:id="0">
    <w:p w14:paraId="3A3C81E8" w14:textId="77777777" w:rsidR="008B25D6" w:rsidRDefault="008B25D6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DFD8C" w14:textId="77777777" w:rsidR="008B25D6" w:rsidRDefault="008B25D6" w:rsidP="00BF7744">
      <w:r>
        <w:separator/>
      </w:r>
    </w:p>
  </w:footnote>
  <w:footnote w:type="continuationSeparator" w:id="0">
    <w:p w14:paraId="4B388DF5" w14:textId="77777777" w:rsidR="008B25D6" w:rsidRDefault="008B25D6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F43F" w14:textId="128A6758" w:rsidR="00F0317F" w:rsidRDefault="00775F7B" w:rsidP="00F0317F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73378" w14:textId="5F608EEE" w:rsidR="00775F7B" w:rsidRDefault="00775F7B" w:rsidP="00775F7B">
    <w:pPr>
      <w:pStyle w:val="aa"/>
      <w:tabs>
        <w:tab w:val="clear" w:pos="4677"/>
        <w:tab w:val="clear" w:pos="9355"/>
        <w:tab w:val="left" w:pos="4155"/>
      </w:tabs>
    </w:pPr>
    <w:r>
      <w:tab/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276DB"/>
    <w:rsid w:val="00090328"/>
    <w:rsid w:val="001758F5"/>
    <w:rsid w:val="0017673E"/>
    <w:rsid w:val="001D3513"/>
    <w:rsid w:val="001D40B4"/>
    <w:rsid w:val="001D7836"/>
    <w:rsid w:val="001F3384"/>
    <w:rsid w:val="00240278"/>
    <w:rsid w:val="002642DC"/>
    <w:rsid w:val="002803AA"/>
    <w:rsid w:val="002F4BCC"/>
    <w:rsid w:val="003532D5"/>
    <w:rsid w:val="00364E30"/>
    <w:rsid w:val="00380DB6"/>
    <w:rsid w:val="003C0814"/>
    <w:rsid w:val="003E6CD5"/>
    <w:rsid w:val="00435A73"/>
    <w:rsid w:val="00445218"/>
    <w:rsid w:val="00450419"/>
    <w:rsid w:val="00467DEF"/>
    <w:rsid w:val="004F0BC9"/>
    <w:rsid w:val="004F3095"/>
    <w:rsid w:val="00503A76"/>
    <w:rsid w:val="00537B8A"/>
    <w:rsid w:val="005D28C3"/>
    <w:rsid w:val="00602854"/>
    <w:rsid w:val="006227EF"/>
    <w:rsid w:val="00664328"/>
    <w:rsid w:val="00677F63"/>
    <w:rsid w:val="00742B8D"/>
    <w:rsid w:val="0076224E"/>
    <w:rsid w:val="00766980"/>
    <w:rsid w:val="00775F7B"/>
    <w:rsid w:val="00782055"/>
    <w:rsid w:val="00786F5D"/>
    <w:rsid w:val="0079392A"/>
    <w:rsid w:val="007951AD"/>
    <w:rsid w:val="007D6833"/>
    <w:rsid w:val="008274EE"/>
    <w:rsid w:val="0089251B"/>
    <w:rsid w:val="008B25D6"/>
    <w:rsid w:val="008C2494"/>
    <w:rsid w:val="008C450B"/>
    <w:rsid w:val="008C5C4D"/>
    <w:rsid w:val="008D15F6"/>
    <w:rsid w:val="008E080C"/>
    <w:rsid w:val="00910688"/>
    <w:rsid w:val="00922ACB"/>
    <w:rsid w:val="00927C51"/>
    <w:rsid w:val="00927CE1"/>
    <w:rsid w:val="00957A3A"/>
    <w:rsid w:val="00963555"/>
    <w:rsid w:val="00965AB7"/>
    <w:rsid w:val="00977B3B"/>
    <w:rsid w:val="009C5449"/>
    <w:rsid w:val="009D172D"/>
    <w:rsid w:val="009D3B2C"/>
    <w:rsid w:val="009D44EF"/>
    <w:rsid w:val="00A1724C"/>
    <w:rsid w:val="00A817DB"/>
    <w:rsid w:val="00A81BFB"/>
    <w:rsid w:val="00AB3835"/>
    <w:rsid w:val="00B17DA1"/>
    <w:rsid w:val="00BA5A7C"/>
    <w:rsid w:val="00BF7744"/>
    <w:rsid w:val="00C513AA"/>
    <w:rsid w:val="00C665F2"/>
    <w:rsid w:val="00CA1353"/>
    <w:rsid w:val="00D97E31"/>
    <w:rsid w:val="00DA7964"/>
    <w:rsid w:val="00DB34E1"/>
    <w:rsid w:val="00DD16F5"/>
    <w:rsid w:val="00DF2437"/>
    <w:rsid w:val="00EF4FC9"/>
    <w:rsid w:val="00F0317F"/>
    <w:rsid w:val="00F152F1"/>
    <w:rsid w:val="00F17F88"/>
    <w:rsid w:val="00F57137"/>
    <w:rsid w:val="00F64443"/>
    <w:rsid w:val="00F72351"/>
    <w:rsid w:val="00F873C2"/>
    <w:rsid w:val="00FA371C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166C8A50-A566-4CED-A558-162FBFF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cp:lastModifiedBy>USER</cp:lastModifiedBy>
  <cp:revision>5</cp:revision>
  <cp:lastPrinted>2021-01-11T10:15:00Z</cp:lastPrinted>
  <dcterms:created xsi:type="dcterms:W3CDTF">2021-01-11T05:54:00Z</dcterms:created>
  <dcterms:modified xsi:type="dcterms:W3CDTF">2021-01-12T02:47:00Z</dcterms:modified>
</cp:coreProperties>
</file>